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B3" w:rsidRDefault="004012B3" w:rsidP="004012B3">
      <w:pPr>
        <w:widowControl w:val="0"/>
        <w:pBdr>
          <w:top w:val="nil"/>
          <w:left w:val="nil"/>
          <w:bottom w:val="nil"/>
          <w:right w:val="nil"/>
          <w:between w:val="nil"/>
        </w:pBdr>
        <w:spacing w:line="240" w:lineRule="auto"/>
        <w:ind w:right="119"/>
        <w:jc w:val="both"/>
        <w:rPr>
          <w:color w:val="000000"/>
          <w:sz w:val="20"/>
          <w:szCs w:val="20"/>
        </w:rPr>
      </w:pPr>
      <w:r>
        <w:rPr>
          <w:color w:val="000000"/>
          <w:sz w:val="20"/>
          <w:szCs w:val="20"/>
        </w:rPr>
        <w:t xml:space="preserve">(1) </w:t>
      </w:r>
      <w:r w:rsidRPr="004012B3">
        <w:rPr>
          <w:b/>
          <w:color w:val="000000"/>
          <w:sz w:val="20"/>
          <w:szCs w:val="20"/>
        </w:rPr>
        <w:t>Finančno nadomestilo</w:t>
      </w:r>
      <w:r>
        <w:rPr>
          <w:color w:val="000000"/>
          <w:sz w:val="20"/>
          <w:szCs w:val="20"/>
        </w:rPr>
        <w:t xml:space="preserve"> se določi v višini 85 % vsote i</w:t>
      </w:r>
      <w:r w:rsidRPr="00C33502">
        <w:rPr>
          <w:color w:val="000000"/>
          <w:sz w:val="20"/>
          <w:szCs w:val="20"/>
        </w:rPr>
        <w:t>zpad</w:t>
      </w:r>
      <w:r>
        <w:rPr>
          <w:color w:val="000000"/>
          <w:sz w:val="20"/>
          <w:szCs w:val="20"/>
        </w:rPr>
        <w:t>a</w:t>
      </w:r>
      <w:r w:rsidRPr="00C33502">
        <w:rPr>
          <w:color w:val="000000"/>
          <w:sz w:val="20"/>
          <w:szCs w:val="20"/>
        </w:rPr>
        <w:t xml:space="preserve"> dohodka </w:t>
      </w:r>
      <w:r>
        <w:rPr>
          <w:color w:val="000000"/>
          <w:sz w:val="20"/>
          <w:szCs w:val="20"/>
        </w:rPr>
        <w:t>in stroška skladiščenja vina v obdobju uveljavljanja finančnega nadomestila.</w:t>
      </w:r>
      <w:r w:rsidRPr="00CA4732">
        <w:rPr>
          <w:color w:val="000000"/>
          <w:sz w:val="20"/>
          <w:szCs w:val="20"/>
        </w:rPr>
        <w:t xml:space="preserve"> </w:t>
      </w:r>
      <w:r w:rsidRPr="00C33502">
        <w:rPr>
          <w:color w:val="000000"/>
          <w:sz w:val="20"/>
          <w:szCs w:val="20"/>
        </w:rPr>
        <w:t>Za vse vrednosti iz tega člena se upošteva povprečni hek</w:t>
      </w:r>
      <w:r>
        <w:rPr>
          <w:color w:val="000000"/>
          <w:sz w:val="20"/>
          <w:szCs w:val="20"/>
        </w:rPr>
        <w:t>tar</w:t>
      </w:r>
      <w:r w:rsidRPr="00C33502">
        <w:rPr>
          <w:color w:val="000000"/>
          <w:sz w:val="20"/>
          <w:szCs w:val="20"/>
        </w:rPr>
        <w:t>ski pridelek vina na podlagi podatkov iz registra o prijavah pridelka vina letnika 2017, 2018 in 2019, ki znaša 6700 litrov na hektar.</w:t>
      </w:r>
    </w:p>
    <w:p w:rsidR="004012B3" w:rsidRDefault="004012B3" w:rsidP="004012B3">
      <w:pPr>
        <w:widowControl w:val="0"/>
        <w:pBdr>
          <w:top w:val="nil"/>
          <w:left w:val="nil"/>
          <w:bottom w:val="nil"/>
          <w:right w:val="nil"/>
          <w:between w:val="nil"/>
        </w:pBdr>
        <w:spacing w:line="240" w:lineRule="auto"/>
        <w:ind w:right="119"/>
        <w:jc w:val="both"/>
        <w:rPr>
          <w:color w:val="000000"/>
          <w:sz w:val="20"/>
          <w:szCs w:val="20"/>
        </w:rPr>
      </w:pPr>
    </w:p>
    <w:p w:rsidR="004012B3" w:rsidRPr="00C33502" w:rsidRDefault="004012B3" w:rsidP="004012B3">
      <w:pPr>
        <w:widowControl w:val="0"/>
        <w:pBdr>
          <w:top w:val="nil"/>
          <w:left w:val="nil"/>
          <w:bottom w:val="nil"/>
          <w:right w:val="nil"/>
          <w:between w:val="nil"/>
        </w:pBdr>
        <w:spacing w:line="240" w:lineRule="auto"/>
        <w:ind w:right="119"/>
        <w:jc w:val="both"/>
        <w:rPr>
          <w:color w:val="000000"/>
          <w:sz w:val="20"/>
          <w:szCs w:val="20"/>
        </w:rPr>
      </w:pPr>
      <w:r>
        <w:rPr>
          <w:color w:val="000000"/>
          <w:sz w:val="20"/>
          <w:szCs w:val="20"/>
        </w:rPr>
        <w:t xml:space="preserve">(2) </w:t>
      </w:r>
      <w:r w:rsidRPr="004012B3">
        <w:rPr>
          <w:b/>
          <w:color w:val="000000"/>
          <w:sz w:val="20"/>
          <w:szCs w:val="20"/>
        </w:rPr>
        <w:t>Izpad dohodka</w:t>
      </w:r>
      <w:r>
        <w:rPr>
          <w:color w:val="000000"/>
          <w:sz w:val="20"/>
          <w:szCs w:val="20"/>
        </w:rPr>
        <w:t xml:space="preserve"> </w:t>
      </w:r>
      <w:r w:rsidRPr="00C33502">
        <w:rPr>
          <w:color w:val="000000"/>
          <w:sz w:val="20"/>
          <w:szCs w:val="20"/>
        </w:rPr>
        <w:t xml:space="preserve">se izračuna kot 20 </w:t>
      </w:r>
      <w:r>
        <w:rPr>
          <w:color w:val="000000"/>
          <w:sz w:val="20"/>
          <w:szCs w:val="20"/>
        </w:rPr>
        <w:t>%</w:t>
      </w:r>
      <w:r w:rsidRPr="00C33502">
        <w:rPr>
          <w:color w:val="000000"/>
          <w:sz w:val="20"/>
          <w:szCs w:val="20"/>
        </w:rPr>
        <w:t xml:space="preserve"> delež razlike med povprečnim prihodkom od proizvodnje vina in </w:t>
      </w:r>
      <w:proofErr w:type="spellStart"/>
      <w:r w:rsidRPr="00C33502">
        <w:rPr>
          <w:color w:val="000000"/>
          <w:sz w:val="20"/>
          <w:szCs w:val="20"/>
        </w:rPr>
        <w:t>kalkulativnimi</w:t>
      </w:r>
      <w:proofErr w:type="spellEnd"/>
      <w:r w:rsidRPr="00C33502">
        <w:rPr>
          <w:color w:val="000000"/>
          <w:sz w:val="20"/>
          <w:szCs w:val="20"/>
        </w:rPr>
        <w:t xml:space="preserve"> stroški proizvodnje vina v obdobju od 1</w:t>
      </w:r>
      <w:r>
        <w:rPr>
          <w:color w:val="000000"/>
          <w:sz w:val="20"/>
          <w:szCs w:val="20"/>
        </w:rPr>
        <w:t>6. marca do 31. maja 2020</w:t>
      </w:r>
      <w:r w:rsidRPr="00C33502">
        <w:rPr>
          <w:color w:val="000000"/>
          <w:sz w:val="20"/>
          <w:szCs w:val="20"/>
        </w:rPr>
        <w:t>.</w:t>
      </w:r>
    </w:p>
    <w:p w:rsidR="004012B3" w:rsidRPr="00B562B4" w:rsidRDefault="004012B3" w:rsidP="004012B3">
      <w:pPr>
        <w:pStyle w:val="Odstavekseznama"/>
        <w:rPr>
          <w:color w:val="000000"/>
          <w:sz w:val="20"/>
          <w:szCs w:val="20"/>
        </w:rPr>
      </w:pPr>
    </w:p>
    <w:p w:rsidR="004012B3" w:rsidRPr="00C33502" w:rsidRDefault="004012B3" w:rsidP="004012B3">
      <w:pPr>
        <w:widowControl w:val="0"/>
        <w:pBdr>
          <w:top w:val="nil"/>
          <w:left w:val="nil"/>
          <w:bottom w:val="nil"/>
          <w:right w:val="nil"/>
          <w:between w:val="nil"/>
        </w:pBdr>
        <w:spacing w:line="240" w:lineRule="auto"/>
        <w:ind w:right="119"/>
        <w:jc w:val="both"/>
        <w:rPr>
          <w:color w:val="000000"/>
          <w:sz w:val="20"/>
          <w:szCs w:val="20"/>
        </w:rPr>
      </w:pPr>
      <w:r>
        <w:rPr>
          <w:color w:val="000000"/>
          <w:sz w:val="20"/>
          <w:szCs w:val="20"/>
        </w:rPr>
        <w:t xml:space="preserve">(3) </w:t>
      </w:r>
      <w:r w:rsidRPr="004012B3">
        <w:rPr>
          <w:b/>
          <w:color w:val="000000"/>
          <w:sz w:val="20"/>
          <w:szCs w:val="20"/>
        </w:rPr>
        <w:t>Povprečni prihodek od proizvodnje vina</w:t>
      </w:r>
      <w:r w:rsidRPr="00C33502">
        <w:rPr>
          <w:color w:val="000000"/>
          <w:sz w:val="20"/>
          <w:szCs w:val="20"/>
        </w:rPr>
        <w:t xml:space="preserve"> je določen na podlagi hektarskega pridelka vina iz pr</w:t>
      </w:r>
      <w:r>
        <w:rPr>
          <w:color w:val="000000"/>
          <w:sz w:val="20"/>
          <w:szCs w:val="20"/>
        </w:rPr>
        <w:t>vega</w:t>
      </w:r>
      <w:r w:rsidRPr="00C33502">
        <w:rPr>
          <w:color w:val="000000"/>
          <w:sz w:val="20"/>
          <w:szCs w:val="20"/>
        </w:rPr>
        <w:t xml:space="preserve"> odstavka</w:t>
      </w:r>
      <w:r>
        <w:rPr>
          <w:color w:val="000000"/>
          <w:sz w:val="20"/>
          <w:szCs w:val="20"/>
        </w:rPr>
        <w:t xml:space="preserve"> tega člena </w:t>
      </w:r>
      <w:r w:rsidRPr="00C33502">
        <w:rPr>
          <w:color w:val="000000"/>
          <w:sz w:val="20"/>
          <w:szCs w:val="20"/>
        </w:rPr>
        <w:t xml:space="preserve">in povprečne cene vina za leto 2019 iz </w:t>
      </w:r>
      <w:proofErr w:type="spellStart"/>
      <w:r w:rsidRPr="00C33502">
        <w:rPr>
          <w:color w:val="000000"/>
          <w:sz w:val="20"/>
          <w:szCs w:val="20"/>
        </w:rPr>
        <w:t>tržnoinformacijskega</w:t>
      </w:r>
      <w:proofErr w:type="spellEnd"/>
      <w:r w:rsidRPr="00C33502">
        <w:rPr>
          <w:color w:val="000000"/>
          <w:sz w:val="20"/>
          <w:szCs w:val="20"/>
        </w:rPr>
        <w:t xml:space="preserve"> sistema (303 </w:t>
      </w:r>
      <w:proofErr w:type="spellStart"/>
      <w:r w:rsidRPr="00C33502">
        <w:rPr>
          <w:color w:val="000000"/>
          <w:sz w:val="20"/>
          <w:szCs w:val="20"/>
        </w:rPr>
        <w:t>eur</w:t>
      </w:r>
      <w:proofErr w:type="spellEnd"/>
      <w:r w:rsidRPr="00C33502">
        <w:rPr>
          <w:color w:val="000000"/>
          <w:sz w:val="20"/>
          <w:szCs w:val="20"/>
        </w:rPr>
        <w:t>/</w:t>
      </w:r>
      <w:proofErr w:type="spellStart"/>
      <w:r w:rsidRPr="00C33502">
        <w:rPr>
          <w:color w:val="000000"/>
          <w:sz w:val="20"/>
          <w:szCs w:val="20"/>
        </w:rPr>
        <w:t>hl</w:t>
      </w:r>
      <w:proofErr w:type="spellEnd"/>
      <w:r w:rsidRPr="00C33502">
        <w:rPr>
          <w:color w:val="000000"/>
          <w:sz w:val="20"/>
          <w:szCs w:val="20"/>
        </w:rPr>
        <w:t xml:space="preserve">) ter znaša 20.300 </w:t>
      </w:r>
      <w:proofErr w:type="spellStart"/>
      <w:r w:rsidRPr="00C33502">
        <w:rPr>
          <w:color w:val="000000"/>
          <w:sz w:val="20"/>
          <w:szCs w:val="20"/>
        </w:rPr>
        <w:t>eurov</w:t>
      </w:r>
      <w:proofErr w:type="spellEnd"/>
      <w:r w:rsidRPr="00C33502">
        <w:rPr>
          <w:color w:val="000000"/>
          <w:sz w:val="20"/>
          <w:szCs w:val="20"/>
        </w:rPr>
        <w:t xml:space="preserve"> na hektar letno. </w:t>
      </w:r>
    </w:p>
    <w:p w:rsidR="004012B3" w:rsidRPr="00B562B4" w:rsidRDefault="004012B3" w:rsidP="004012B3">
      <w:pPr>
        <w:pStyle w:val="Odstavekseznama"/>
        <w:rPr>
          <w:color w:val="000000"/>
          <w:sz w:val="20"/>
          <w:szCs w:val="20"/>
        </w:rPr>
      </w:pPr>
    </w:p>
    <w:p w:rsidR="004012B3" w:rsidRPr="00C33502" w:rsidRDefault="004012B3" w:rsidP="004012B3">
      <w:pPr>
        <w:widowControl w:val="0"/>
        <w:pBdr>
          <w:top w:val="nil"/>
          <w:left w:val="nil"/>
          <w:bottom w:val="nil"/>
          <w:right w:val="nil"/>
          <w:between w:val="nil"/>
        </w:pBdr>
        <w:spacing w:line="240" w:lineRule="auto"/>
        <w:ind w:right="119"/>
        <w:jc w:val="both"/>
        <w:rPr>
          <w:color w:val="000000"/>
          <w:sz w:val="20"/>
          <w:szCs w:val="20"/>
        </w:rPr>
      </w:pPr>
      <w:r>
        <w:rPr>
          <w:color w:val="000000"/>
          <w:sz w:val="20"/>
          <w:szCs w:val="20"/>
        </w:rPr>
        <w:t xml:space="preserve">(4) </w:t>
      </w:r>
      <w:proofErr w:type="spellStart"/>
      <w:r w:rsidRPr="004012B3">
        <w:rPr>
          <w:b/>
          <w:color w:val="000000"/>
          <w:sz w:val="20"/>
          <w:szCs w:val="20"/>
        </w:rPr>
        <w:t>Kalkulativni</w:t>
      </w:r>
      <w:proofErr w:type="spellEnd"/>
      <w:r w:rsidRPr="004012B3">
        <w:rPr>
          <w:b/>
          <w:color w:val="000000"/>
          <w:sz w:val="20"/>
          <w:szCs w:val="20"/>
        </w:rPr>
        <w:t xml:space="preserve"> stroški proizvodnje vina v letu 2019</w:t>
      </w:r>
      <w:r w:rsidRPr="00C33502">
        <w:rPr>
          <w:color w:val="000000"/>
          <w:sz w:val="20"/>
          <w:szCs w:val="20"/>
        </w:rPr>
        <w:t>, pripravljeni v okviru strokovnih nalog v rastlinski proizvodnji, znašajo pri povprečnem hekt</w:t>
      </w:r>
      <w:r>
        <w:rPr>
          <w:color w:val="000000"/>
          <w:sz w:val="20"/>
          <w:szCs w:val="20"/>
        </w:rPr>
        <w:t>ar</w:t>
      </w:r>
      <w:r w:rsidRPr="00C33502">
        <w:rPr>
          <w:color w:val="000000"/>
          <w:sz w:val="20"/>
          <w:szCs w:val="20"/>
        </w:rPr>
        <w:t xml:space="preserve">skem pridelku iz </w:t>
      </w:r>
      <w:r>
        <w:rPr>
          <w:color w:val="000000"/>
          <w:sz w:val="20"/>
          <w:szCs w:val="20"/>
        </w:rPr>
        <w:t>prvega</w:t>
      </w:r>
      <w:r w:rsidRPr="00C33502">
        <w:rPr>
          <w:color w:val="000000"/>
          <w:sz w:val="20"/>
          <w:szCs w:val="20"/>
        </w:rPr>
        <w:t xml:space="preserve"> odstavka tega člena 8100 </w:t>
      </w:r>
      <w:proofErr w:type="spellStart"/>
      <w:r w:rsidRPr="00C33502">
        <w:rPr>
          <w:color w:val="000000"/>
          <w:sz w:val="20"/>
          <w:szCs w:val="20"/>
        </w:rPr>
        <w:t>eurov</w:t>
      </w:r>
      <w:proofErr w:type="spellEnd"/>
      <w:r w:rsidRPr="00C33502">
        <w:rPr>
          <w:color w:val="000000"/>
          <w:sz w:val="20"/>
          <w:szCs w:val="20"/>
        </w:rPr>
        <w:t xml:space="preserve"> na hektar letno.</w:t>
      </w:r>
    </w:p>
    <w:p w:rsidR="004012B3" w:rsidRPr="00134115" w:rsidRDefault="004012B3" w:rsidP="004012B3">
      <w:pPr>
        <w:pStyle w:val="Odstavekseznama"/>
        <w:rPr>
          <w:color w:val="000000"/>
          <w:sz w:val="20"/>
          <w:szCs w:val="20"/>
        </w:rPr>
      </w:pPr>
    </w:p>
    <w:p w:rsidR="004012B3" w:rsidRPr="00C33502" w:rsidRDefault="004012B3" w:rsidP="004012B3">
      <w:pPr>
        <w:widowControl w:val="0"/>
        <w:pBdr>
          <w:top w:val="nil"/>
          <w:left w:val="nil"/>
          <w:bottom w:val="nil"/>
          <w:right w:val="nil"/>
          <w:between w:val="nil"/>
        </w:pBdr>
        <w:spacing w:line="240" w:lineRule="auto"/>
        <w:ind w:right="119"/>
        <w:jc w:val="both"/>
        <w:rPr>
          <w:color w:val="000000"/>
          <w:sz w:val="20"/>
          <w:szCs w:val="20"/>
        </w:rPr>
      </w:pPr>
      <w:r>
        <w:rPr>
          <w:color w:val="000000"/>
          <w:sz w:val="20"/>
          <w:szCs w:val="20"/>
        </w:rPr>
        <w:t xml:space="preserve">(5) </w:t>
      </w:r>
      <w:r w:rsidRPr="004012B3">
        <w:rPr>
          <w:b/>
          <w:color w:val="000000"/>
          <w:sz w:val="20"/>
          <w:szCs w:val="20"/>
        </w:rPr>
        <w:t>Strošek skladiščenja vina</w:t>
      </w:r>
      <w:r w:rsidRPr="00C33502">
        <w:rPr>
          <w:color w:val="000000"/>
          <w:sz w:val="20"/>
          <w:szCs w:val="20"/>
        </w:rPr>
        <w:t xml:space="preserve"> znaša pri povprečnem hek</w:t>
      </w:r>
      <w:r>
        <w:rPr>
          <w:color w:val="000000"/>
          <w:sz w:val="20"/>
          <w:szCs w:val="20"/>
        </w:rPr>
        <w:t>tar</w:t>
      </w:r>
      <w:r w:rsidRPr="00C33502">
        <w:rPr>
          <w:color w:val="000000"/>
          <w:sz w:val="20"/>
          <w:szCs w:val="20"/>
        </w:rPr>
        <w:t xml:space="preserve">skem pridelku iz </w:t>
      </w:r>
      <w:r>
        <w:rPr>
          <w:color w:val="000000"/>
          <w:sz w:val="20"/>
          <w:szCs w:val="20"/>
        </w:rPr>
        <w:t>prvega</w:t>
      </w:r>
      <w:r w:rsidRPr="00C33502">
        <w:rPr>
          <w:color w:val="000000"/>
          <w:sz w:val="20"/>
          <w:szCs w:val="20"/>
        </w:rPr>
        <w:t xml:space="preserve"> odstavka tega člena 1.085 </w:t>
      </w:r>
      <w:proofErr w:type="spellStart"/>
      <w:r w:rsidRPr="00C33502">
        <w:rPr>
          <w:color w:val="000000"/>
          <w:sz w:val="20"/>
          <w:szCs w:val="20"/>
        </w:rPr>
        <w:t>eurov</w:t>
      </w:r>
      <w:proofErr w:type="spellEnd"/>
      <w:r w:rsidRPr="00C33502">
        <w:rPr>
          <w:color w:val="000000"/>
          <w:sz w:val="20"/>
          <w:szCs w:val="20"/>
        </w:rPr>
        <w:t xml:space="preserve"> na hek</w:t>
      </w:r>
      <w:r>
        <w:rPr>
          <w:color w:val="000000"/>
          <w:sz w:val="20"/>
          <w:szCs w:val="20"/>
        </w:rPr>
        <w:t>tar</w:t>
      </w:r>
      <w:r w:rsidRPr="00C33502">
        <w:rPr>
          <w:color w:val="000000"/>
          <w:sz w:val="20"/>
          <w:szCs w:val="20"/>
        </w:rPr>
        <w:t xml:space="preserve"> letno.</w:t>
      </w:r>
    </w:p>
    <w:p w:rsidR="004012B3" w:rsidRDefault="004012B3" w:rsidP="004012B3">
      <w:pPr>
        <w:pStyle w:val="Odstavekseznama"/>
        <w:widowControl w:val="0"/>
        <w:pBdr>
          <w:top w:val="nil"/>
          <w:left w:val="nil"/>
          <w:bottom w:val="nil"/>
          <w:right w:val="nil"/>
          <w:between w:val="nil"/>
        </w:pBdr>
        <w:spacing w:line="240" w:lineRule="auto"/>
        <w:ind w:left="360" w:right="119"/>
        <w:jc w:val="both"/>
        <w:rPr>
          <w:color w:val="000000"/>
          <w:sz w:val="20"/>
          <w:szCs w:val="20"/>
        </w:rPr>
      </w:pPr>
    </w:p>
    <w:p w:rsidR="004012B3" w:rsidRPr="000E0195" w:rsidRDefault="004012B3" w:rsidP="004012B3">
      <w:pPr>
        <w:widowControl w:val="0"/>
        <w:pBdr>
          <w:top w:val="nil"/>
          <w:left w:val="nil"/>
          <w:bottom w:val="nil"/>
          <w:right w:val="nil"/>
          <w:between w:val="nil"/>
        </w:pBdr>
        <w:spacing w:line="240" w:lineRule="auto"/>
        <w:ind w:right="119"/>
        <w:jc w:val="both"/>
        <w:rPr>
          <w:color w:val="000000"/>
          <w:sz w:val="20"/>
          <w:szCs w:val="20"/>
        </w:rPr>
      </w:pPr>
      <w:r>
        <w:rPr>
          <w:color w:val="000000"/>
          <w:sz w:val="20"/>
          <w:szCs w:val="20"/>
        </w:rPr>
        <w:t xml:space="preserve">(6) </w:t>
      </w:r>
      <w:r w:rsidRPr="004012B3">
        <w:rPr>
          <w:b/>
          <w:color w:val="000000"/>
          <w:sz w:val="20"/>
          <w:szCs w:val="20"/>
        </w:rPr>
        <w:t>Vlagatelj je upravičen</w:t>
      </w:r>
      <w:r w:rsidRPr="000E0195">
        <w:rPr>
          <w:color w:val="000000"/>
          <w:sz w:val="20"/>
          <w:szCs w:val="20"/>
        </w:rPr>
        <w:t xml:space="preserve"> do izplačila nadomestila</w:t>
      </w:r>
      <w:r>
        <w:rPr>
          <w:color w:val="000000"/>
          <w:sz w:val="20"/>
          <w:szCs w:val="20"/>
        </w:rPr>
        <w:t xml:space="preserve">, ki se </w:t>
      </w:r>
      <w:r w:rsidRPr="004012B3">
        <w:rPr>
          <w:b/>
          <w:color w:val="000000"/>
          <w:sz w:val="20"/>
          <w:szCs w:val="20"/>
        </w:rPr>
        <w:t>izračuna po naslednji formuli</w:t>
      </w:r>
      <w:r w:rsidRPr="000E0195">
        <w:rPr>
          <w:color w:val="000000"/>
          <w:sz w:val="20"/>
          <w:szCs w:val="20"/>
        </w:rPr>
        <w:t>:</w:t>
      </w:r>
    </w:p>
    <w:p w:rsidR="004012B3" w:rsidRDefault="004012B3" w:rsidP="004012B3">
      <w:pPr>
        <w:rPr>
          <w:color w:val="000000"/>
          <w:sz w:val="20"/>
          <w:szCs w:val="20"/>
        </w:rPr>
      </w:pPr>
    </w:p>
    <w:p w:rsidR="004012B3" w:rsidRDefault="004012B3" w:rsidP="004012B3">
      <w:pPr>
        <w:rPr>
          <w:color w:val="000000"/>
          <w:sz w:val="20"/>
          <w:szCs w:val="20"/>
        </w:rPr>
      </w:pPr>
      <w:r>
        <w:rPr>
          <w:color w:val="000000"/>
          <w:sz w:val="20"/>
          <w:szCs w:val="20"/>
        </w:rPr>
        <w:t xml:space="preserve">(0,2 x (20.300 </w:t>
      </w:r>
      <w:proofErr w:type="spellStart"/>
      <w:r>
        <w:rPr>
          <w:color w:val="000000"/>
          <w:sz w:val="20"/>
          <w:szCs w:val="20"/>
        </w:rPr>
        <w:t>eurov</w:t>
      </w:r>
      <w:proofErr w:type="spellEnd"/>
      <w:r>
        <w:rPr>
          <w:color w:val="000000"/>
          <w:sz w:val="20"/>
          <w:szCs w:val="20"/>
        </w:rPr>
        <w:t xml:space="preserve"> – 8100 </w:t>
      </w:r>
      <w:proofErr w:type="spellStart"/>
      <w:r>
        <w:rPr>
          <w:color w:val="000000"/>
          <w:sz w:val="20"/>
          <w:szCs w:val="20"/>
        </w:rPr>
        <w:t>eurov</w:t>
      </w:r>
      <w:proofErr w:type="spellEnd"/>
      <w:r>
        <w:rPr>
          <w:color w:val="000000"/>
          <w:sz w:val="20"/>
          <w:szCs w:val="20"/>
        </w:rPr>
        <w:t xml:space="preserve">) + 1085 </w:t>
      </w:r>
      <w:proofErr w:type="spellStart"/>
      <w:r>
        <w:rPr>
          <w:color w:val="000000"/>
          <w:sz w:val="20"/>
          <w:szCs w:val="20"/>
        </w:rPr>
        <w:t>eurov</w:t>
      </w:r>
      <w:proofErr w:type="spellEnd"/>
      <w:r>
        <w:rPr>
          <w:color w:val="000000"/>
          <w:sz w:val="20"/>
          <w:szCs w:val="20"/>
        </w:rPr>
        <w:t xml:space="preserve">) x 0,21 X površina  x 0,85 = 629,21 </w:t>
      </w:r>
      <w:proofErr w:type="spellStart"/>
      <w:r>
        <w:rPr>
          <w:color w:val="000000"/>
          <w:sz w:val="20"/>
          <w:szCs w:val="20"/>
        </w:rPr>
        <w:t>eurov</w:t>
      </w:r>
      <w:proofErr w:type="spellEnd"/>
      <w:r>
        <w:rPr>
          <w:color w:val="000000"/>
          <w:sz w:val="20"/>
          <w:szCs w:val="20"/>
        </w:rPr>
        <w:t xml:space="preserve"> x površina, </w:t>
      </w:r>
    </w:p>
    <w:p w:rsidR="004012B3" w:rsidRDefault="004012B3" w:rsidP="004012B3">
      <w:pPr>
        <w:rPr>
          <w:color w:val="000000"/>
          <w:sz w:val="20"/>
          <w:szCs w:val="20"/>
        </w:rPr>
      </w:pPr>
    </w:p>
    <w:p w:rsidR="004012B3" w:rsidRDefault="004012B3" w:rsidP="004012B3">
      <w:pPr>
        <w:rPr>
          <w:color w:val="000000"/>
          <w:sz w:val="20"/>
          <w:szCs w:val="20"/>
        </w:rPr>
      </w:pPr>
      <w:r>
        <w:rPr>
          <w:color w:val="000000"/>
          <w:sz w:val="20"/>
          <w:szCs w:val="20"/>
        </w:rPr>
        <w:t>pri čemer pomeni:</w:t>
      </w:r>
    </w:p>
    <w:p w:rsidR="004012B3" w:rsidRDefault="004012B3" w:rsidP="004012B3">
      <w:pPr>
        <w:rPr>
          <w:color w:val="000000"/>
          <w:sz w:val="20"/>
          <w:szCs w:val="20"/>
        </w:rPr>
      </w:pPr>
      <w:r>
        <w:rPr>
          <w:sz w:val="20"/>
          <w:szCs w:val="20"/>
        </w:rPr>
        <w:sym w:font="Symbol" w:char="F02D"/>
      </w:r>
      <w:r>
        <w:rPr>
          <w:sz w:val="20"/>
          <w:szCs w:val="20"/>
        </w:rPr>
        <w:t xml:space="preserve"> 0,21 </w:t>
      </w:r>
      <w:r>
        <w:rPr>
          <w:color w:val="000000"/>
          <w:sz w:val="20"/>
          <w:szCs w:val="20"/>
        </w:rPr>
        <w:t>delež obdobja od 16. marca do 31. maja v letu 2020,</w:t>
      </w:r>
    </w:p>
    <w:p w:rsidR="004012B3" w:rsidRPr="00D353B3" w:rsidRDefault="004012B3" w:rsidP="004012B3">
      <w:pPr>
        <w:rPr>
          <w:color w:val="000000"/>
          <w:sz w:val="20"/>
          <w:szCs w:val="20"/>
        </w:rPr>
      </w:pPr>
      <w:r>
        <w:rPr>
          <w:sz w:val="20"/>
          <w:szCs w:val="20"/>
        </w:rPr>
        <w:sym w:font="Symbol" w:char="F02D"/>
      </w:r>
      <w:r>
        <w:rPr>
          <w:sz w:val="20"/>
          <w:szCs w:val="20"/>
        </w:rPr>
        <w:t xml:space="preserve"> površina pa </w:t>
      </w:r>
      <w:r>
        <w:rPr>
          <w:color w:val="000000"/>
          <w:sz w:val="20"/>
          <w:szCs w:val="20"/>
        </w:rPr>
        <w:t xml:space="preserve">3-letno povprečje površine vinogradov, ki jih je imel vlagatelj vpisane v register na dan 1. avgust v letih 2017, 2018 in 2019. </w:t>
      </w:r>
    </w:p>
    <w:p w:rsidR="004012B3" w:rsidRPr="00B562B4" w:rsidRDefault="004012B3" w:rsidP="004012B3">
      <w:pPr>
        <w:rPr>
          <w:color w:val="000000"/>
          <w:sz w:val="20"/>
          <w:szCs w:val="20"/>
        </w:rPr>
      </w:pPr>
    </w:p>
    <w:p w:rsidR="004012B3" w:rsidRDefault="004012B3" w:rsidP="004012B3">
      <w:pPr>
        <w:pStyle w:val="Odstavekseznama"/>
        <w:widowControl w:val="0"/>
        <w:pBdr>
          <w:top w:val="nil"/>
          <w:left w:val="nil"/>
          <w:bottom w:val="nil"/>
          <w:right w:val="nil"/>
          <w:between w:val="nil"/>
        </w:pBdr>
        <w:spacing w:line="240" w:lineRule="auto"/>
        <w:ind w:left="0" w:right="119"/>
        <w:jc w:val="both"/>
        <w:rPr>
          <w:color w:val="000000"/>
          <w:sz w:val="20"/>
          <w:szCs w:val="20"/>
        </w:rPr>
      </w:pPr>
      <w:r>
        <w:rPr>
          <w:color w:val="000000"/>
          <w:sz w:val="20"/>
          <w:szCs w:val="20"/>
        </w:rPr>
        <w:t>(7) Če je bil vlagatelj vpisan v register po 1. avgustu 2019, se za izračun iz prejšnjega odstavka upošteva podatek o površini vinogradov na dan vpisa v register.</w:t>
      </w:r>
    </w:p>
    <w:p w:rsidR="004012B3" w:rsidRDefault="004012B3" w:rsidP="004012B3">
      <w:pPr>
        <w:pStyle w:val="Odstavekseznama"/>
        <w:widowControl w:val="0"/>
        <w:pBdr>
          <w:top w:val="nil"/>
          <w:left w:val="nil"/>
          <w:bottom w:val="nil"/>
          <w:right w:val="nil"/>
          <w:between w:val="nil"/>
        </w:pBdr>
        <w:spacing w:line="240" w:lineRule="auto"/>
        <w:ind w:left="0" w:right="119"/>
        <w:jc w:val="both"/>
        <w:rPr>
          <w:color w:val="000000"/>
          <w:sz w:val="20"/>
          <w:szCs w:val="20"/>
        </w:rPr>
      </w:pPr>
    </w:p>
    <w:p w:rsidR="004012B3" w:rsidRPr="00FA3973" w:rsidRDefault="004012B3" w:rsidP="004012B3">
      <w:pPr>
        <w:pStyle w:val="Odstavekseznama"/>
        <w:widowControl w:val="0"/>
        <w:pBdr>
          <w:top w:val="nil"/>
          <w:left w:val="nil"/>
          <w:bottom w:val="nil"/>
          <w:right w:val="nil"/>
          <w:between w:val="nil"/>
        </w:pBdr>
        <w:spacing w:line="240" w:lineRule="auto"/>
        <w:ind w:left="0" w:right="119"/>
        <w:jc w:val="both"/>
        <w:rPr>
          <w:color w:val="000000"/>
          <w:sz w:val="20"/>
          <w:szCs w:val="20"/>
        </w:rPr>
      </w:pPr>
      <w:r w:rsidRPr="00FA3973">
        <w:rPr>
          <w:color w:val="000000"/>
          <w:sz w:val="20"/>
          <w:szCs w:val="20"/>
        </w:rPr>
        <w:t xml:space="preserve">(8) Če vlagatelj še ni bil vpisan v register 1. avgusta 2018, se za izračun iz šestega odstavka tega člena upošteva podatek o površini vinogradov </w:t>
      </w:r>
      <w:r>
        <w:rPr>
          <w:color w:val="000000"/>
          <w:sz w:val="20"/>
          <w:szCs w:val="20"/>
        </w:rPr>
        <w:t xml:space="preserve">na dan </w:t>
      </w:r>
      <w:r w:rsidRPr="00FA3973">
        <w:rPr>
          <w:color w:val="000000"/>
          <w:sz w:val="20"/>
          <w:szCs w:val="20"/>
        </w:rPr>
        <w:t>1. avgust 2019.</w:t>
      </w:r>
    </w:p>
    <w:p w:rsidR="004012B3" w:rsidRPr="00FA3973" w:rsidRDefault="004012B3" w:rsidP="004012B3">
      <w:pPr>
        <w:pStyle w:val="Odstavekseznama"/>
        <w:widowControl w:val="0"/>
        <w:pBdr>
          <w:top w:val="nil"/>
          <w:left w:val="nil"/>
          <w:bottom w:val="nil"/>
          <w:right w:val="nil"/>
          <w:between w:val="nil"/>
        </w:pBdr>
        <w:spacing w:line="240" w:lineRule="auto"/>
        <w:ind w:left="0" w:right="119"/>
        <w:jc w:val="both"/>
        <w:rPr>
          <w:color w:val="000000"/>
          <w:sz w:val="20"/>
          <w:szCs w:val="20"/>
        </w:rPr>
      </w:pPr>
    </w:p>
    <w:p w:rsidR="004012B3" w:rsidRDefault="004012B3" w:rsidP="004012B3">
      <w:pPr>
        <w:pStyle w:val="Odstavekseznama"/>
        <w:widowControl w:val="0"/>
        <w:pBdr>
          <w:top w:val="nil"/>
          <w:left w:val="nil"/>
          <w:bottom w:val="nil"/>
          <w:right w:val="nil"/>
          <w:between w:val="nil"/>
        </w:pBdr>
        <w:spacing w:line="240" w:lineRule="auto"/>
        <w:ind w:left="0" w:right="119"/>
        <w:jc w:val="both"/>
        <w:rPr>
          <w:color w:val="000000"/>
          <w:sz w:val="20"/>
          <w:szCs w:val="20"/>
        </w:rPr>
      </w:pPr>
      <w:r w:rsidRPr="00FA3973">
        <w:rPr>
          <w:color w:val="000000"/>
          <w:sz w:val="20"/>
          <w:szCs w:val="20"/>
        </w:rPr>
        <w:t>(9) Če vlagatelj še ni bil vpisan v register 1. avgusta 2017, se za izračun iz šestega odstavka tega člena upošteva dvoletno povprečje površine vinogradov, ki jih je imel vlagatelj vpisane v register na</w:t>
      </w:r>
      <w:r>
        <w:rPr>
          <w:color w:val="000000"/>
          <w:sz w:val="20"/>
          <w:szCs w:val="20"/>
        </w:rPr>
        <w:t xml:space="preserve"> dan</w:t>
      </w:r>
      <w:r w:rsidRPr="00FA3973">
        <w:rPr>
          <w:color w:val="000000"/>
          <w:sz w:val="20"/>
          <w:szCs w:val="20"/>
        </w:rPr>
        <w:t xml:space="preserve"> 1. avgust v letih 2018 in 2019.</w:t>
      </w:r>
    </w:p>
    <w:p w:rsidR="00DA6EB9" w:rsidRDefault="00DA6EB9" w:rsidP="004012B3">
      <w:pPr>
        <w:pStyle w:val="Odstavekseznama"/>
        <w:widowControl w:val="0"/>
        <w:pBdr>
          <w:top w:val="nil"/>
          <w:left w:val="nil"/>
          <w:bottom w:val="nil"/>
          <w:right w:val="nil"/>
          <w:between w:val="nil"/>
        </w:pBdr>
        <w:spacing w:line="240" w:lineRule="auto"/>
        <w:ind w:left="0" w:right="119"/>
        <w:jc w:val="both"/>
        <w:rPr>
          <w:color w:val="000000"/>
          <w:sz w:val="20"/>
          <w:szCs w:val="20"/>
        </w:rPr>
      </w:pPr>
    </w:p>
    <w:p w:rsidR="00DA6EB9" w:rsidRDefault="00DA6EB9" w:rsidP="00DA6EB9">
      <w:pPr>
        <w:pStyle w:val="Odstavekseznama"/>
        <w:widowControl w:val="0"/>
        <w:pBdr>
          <w:top w:val="nil"/>
          <w:left w:val="nil"/>
          <w:bottom w:val="nil"/>
          <w:right w:val="nil"/>
          <w:between w:val="nil"/>
        </w:pBdr>
        <w:spacing w:line="240" w:lineRule="auto"/>
        <w:ind w:left="0" w:right="119"/>
        <w:jc w:val="both"/>
        <w:rPr>
          <w:color w:val="000000"/>
          <w:sz w:val="20"/>
          <w:szCs w:val="20"/>
        </w:rPr>
      </w:pPr>
      <w:r>
        <w:rPr>
          <w:color w:val="000000"/>
          <w:sz w:val="20"/>
          <w:szCs w:val="20"/>
        </w:rPr>
        <w:t>(10) Pri vlagateljih, ki so del grozdja letnika 2019 prodali, se za površino iz šestega odstavka tega člena upošteva sorazmerni del površine, ki ustreza količini grozdja, iz katerega so sami proizvedli vino.</w:t>
      </w:r>
    </w:p>
    <w:p w:rsidR="00DA6EB9" w:rsidRDefault="00DA6EB9" w:rsidP="00DA6EB9">
      <w:pPr>
        <w:pStyle w:val="Odstavekseznama"/>
        <w:widowControl w:val="0"/>
        <w:pBdr>
          <w:top w:val="nil"/>
          <w:left w:val="nil"/>
          <w:bottom w:val="nil"/>
          <w:right w:val="nil"/>
          <w:between w:val="nil"/>
        </w:pBdr>
        <w:spacing w:line="240" w:lineRule="auto"/>
        <w:ind w:left="0" w:right="119"/>
        <w:jc w:val="both"/>
        <w:rPr>
          <w:color w:val="000000"/>
          <w:sz w:val="20"/>
          <w:szCs w:val="20"/>
        </w:rPr>
      </w:pPr>
    </w:p>
    <w:p w:rsidR="00DA6EB9" w:rsidRDefault="00DA6EB9" w:rsidP="00DA6EB9">
      <w:pPr>
        <w:pStyle w:val="Odstavekseznama"/>
        <w:widowControl w:val="0"/>
        <w:pBdr>
          <w:top w:val="nil"/>
          <w:left w:val="nil"/>
          <w:bottom w:val="nil"/>
          <w:right w:val="nil"/>
          <w:between w:val="nil"/>
        </w:pBdr>
        <w:spacing w:line="240" w:lineRule="auto"/>
        <w:ind w:left="0" w:right="119"/>
        <w:jc w:val="both"/>
        <w:rPr>
          <w:color w:val="000000"/>
          <w:sz w:val="20"/>
          <w:szCs w:val="20"/>
        </w:rPr>
      </w:pPr>
      <w:r w:rsidRPr="009D12BC">
        <w:rPr>
          <w:color w:val="000000"/>
          <w:sz w:val="20"/>
          <w:szCs w:val="20"/>
        </w:rPr>
        <w:t>(1</w:t>
      </w:r>
      <w:r>
        <w:rPr>
          <w:color w:val="000000"/>
          <w:sz w:val="20"/>
          <w:szCs w:val="20"/>
        </w:rPr>
        <w:t>1</w:t>
      </w:r>
      <w:r w:rsidRPr="009D12BC">
        <w:rPr>
          <w:color w:val="000000"/>
          <w:sz w:val="20"/>
          <w:szCs w:val="20"/>
        </w:rPr>
        <w:t>) Pri vlagateljih iz drugega odstavka 4. člena tega odloka se za površino iz šestega odstavka tega člena upoštevata dve tretjini sorazmernega dela površine, ki ustreza količini grozdja</w:t>
      </w:r>
      <w:r>
        <w:rPr>
          <w:color w:val="000000"/>
          <w:sz w:val="20"/>
          <w:szCs w:val="20"/>
        </w:rPr>
        <w:t>,</w:t>
      </w:r>
      <w:r w:rsidRPr="009D12BC">
        <w:rPr>
          <w:color w:val="000000"/>
          <w:sz w:val="20"/>
          <w:szCs w:val="20"/>
        </w:rPr>
        <w:t xml:space="preserve"> oddanega zadrugi, in sorazmerni del površine, ki ustreza količini grozdja</w:t>
      </w:r>
      <w:r>
        <w:rPr>
          <w:color w:val="000000"/>
          <w:sz w:val="20"/>
          <w:szCs w:val="20"/>
        </w:rPr>
        <w:t>,</w:t>
      </w:r>
      <w:r w:rsidRPr="009D12BC">
        <w:rPr>
          <w:color w:val="000000"/>
          <w:sz w:val="20"/>
          <w:szCs w:val="20"/>
        </w:rPr>
        <w:t xml:space="preserve"> iz katerega so sami proizvedli vino.</w:t>
      </w:r>
    </w:p>
    <w:p w:rsidR="00DA6EB9" w:rsidRDefault="00DA6EB9" w:rsidP="00DA6EB9">
      <w:pPr>
        <w:pStyle w:val="Odstavekseznama"/>
        <w:widowControl w:val="0"/>
        <w:pBdr>
          <w:top w:val="nil"/>
          <w:left w:val="nil"/>
          <w:bottom w:val="nil"/>
          <w:right w:val="nil"/>
          <w:between w:val="nil"/>
        </w:pBdr>
        <w:spacing w:line="240" w:lineRule="auto"/>
        <w:ind w:left="0" w:right="119"/>
        <w:jc w:val="both"/>
        <w:rPr>
          <w:color w:val="000000"/>
          <w:sz w:val="20"/>
          <w:szCs w:val="20"/>
        </w:rPr>
      </w:pPr>
    </w:p>
    <w:p w:rsidR="00DA6EB9" w:rsidRDefault="00DA6EB9" w:rsidP="00DA6EB9">
      <w:pPr>
        <w:pStyle w:val="Odstavekseznama"/>
        <w:widowControl w:val="0"/>
        <w:pBdr>
          <w:top w:val="nil"/>
          <w:left w:val="nil"/>
          <w:bottom w:val="nil"/>
          <w:right w:val="nil"/>
          <w:between w:val="nil"/>
        </w:pBdr>
        <w:spacing w:line="240" w:lineRule="auto"/>
        <w:ind w:left="0" w:right="119"/>
        <w:jc w:val="both"/>
        <w:rPr>
          <w:color w:val="000000"/>
          <w:sz w:val="20"/>
          <w:szCs w:val="20"/>
        </w:rPr>
      </w:pPr>
      <w:r>
        <w:rPr>
          <w:color w:val="000000"/>
          <w:sz w:val="20"/>
          <w:szCs w:val="20"/>
        </w:rPr>
        <w:t xml:space="preserve">(12) </w:t>
      </w:r>
      <w:r w:rsidRPr="00AF4D10">
        <w:rPr>
          <w:rFonts w:eastAsia="Times New Roman"/>
          <w:sz w:val="20"/>
          <w:szCs w:val="20"/>
          <w:lang w:val="sl-SI"/>
        </w:rPr>
        <w:t xml:space="preserve">Ne glede na določbe tega člena </w:t>
      </w:r>
      <w:bookmarkStart w:id="0" w:name="_GoBack"/>
      <w:r w:rsidRPr="00AF4D10">
        <w:rPr>
          <w:rFonts w:eastAsia="Times New Roman"/>
          <w:sz w:val="20"/>
          <w:szCs w:val="20"/>
          <w:lang w:val="sl-SI"/>
        </w:rPr>
        <w:t xml:space="preserve">najvišja skupna višina finančnega nadomestila na upravičenca, izplačana po tem odloku, ne sme presegati </w:t>
      </w:r>
      <w:r>
        <w:rPr>
          <w:rFonts w:eastAsia="Times New Roman"/>
          <w:sz w:val="20"/>
          <w:szCs w:val="20"/>
          <w:lang w:val="sl-SI"/>
        </w:rPr>
        <w:t>20</w:t>
      </w:r>
      <w:r w:rsidRPr="00AF4D10">
        <w:rPr>
          <w:rFonts w:eastAsia="Times New Roman"/>
          <w:sz w:val="20"/>
          <w:szCs w:val="20"/>
          <w:lang w:val="sl-SI"/>
        </w:rPr>
        <w:t xml:space="preserve">.000 </w:t>
      </w:r>
      <w:proofErr w:type="spellStart"/>
      <w:r w:rsidRPr="00AF4D10">
        <w:rPr>
          <w:rFonts w:eastAsia="Times New Roman"/>
          <w:sz w:val="20"/>
          <w:szCs w:val="20"/>
          <w:lang w:val="sl-SI"/>
        </w:rPr>
        <w:t>eurov</w:t>
      </w:r>
      <w:proofErr w:type="spellEnd"/>
      <w:r w:rsidRPr="00AF4D10">
        <w:rPr>
          <w:rFonts w:eastAsia="Times New Roman"/>
          <w:sz w:val="20"/>
          <w:szCs w:val="20"/>
          <w:lang w:val="sl-SI"/>
        </w:rPr>
        <w:t>.</w:t>
      </w:r>
    </w:p>
    <w:p w:rsidR="00DA6EB9" w:rsidRDefault="00DA6EB9" w:rsidP="00DA6EB9">
      <w:pPr>
        <w:pStyle w:val="Odstavekseznama"/>
        <w:widowControl w:val="0"/>
        <w:pBdr>
          <w:top w:val="nil"/>
          <w:left w:val="nil"/>
          <w:bottom w:val="nil"/>
          <w:right w:val="nil"/>
          <w:between w:val="nil"/>
        </w:pBdr>
        <w:spacing w:line="240" w:lineRule="auto"/>
        <w:ind w:left="0" w:right="119"/>
        <w:jc w:val="both"/>
        <w:rPr>
          <w:color w:val="000000"/>
          <w:sz w:val="20"/>
          <w:szCs w:val="20"/>
        </w:rPr>
      </w:pPr>
    </w:p>
    <w:p w:rsidR="00DA6EB9" w:rsidRPr="00EA1615" w:rsidRDefault="00DA6EB9" w:rsidP="00DA6EB9">
      <w:pPr>
        <w:pStyle w:val="Odstavekseznama"/>
        <w:widowControl w:val="0"/>
        <w:pBdr>
          <w:top w:val="nil"/>
          <w:left w:val="nil"/>
          <w:bottom w:val="nil"/>
          <w:right w:val="nil"/>
          <w:between w:val="nil"/>
        </w:pBdr>
        <w:spacing w:line="240" w:lineRule="auto"/>
        <w:ind w:left="0" w:right="119"/>
        <w:jc w:val="both"/>
        <w:rPr>
          <w:sz w:val="20"/>
          <w:szCs w:val="20"/>
        </w:rPr>
      </w:pPr>
      <w:r>
        <w:rPr>
          <w:sz w:val="20"/>
          <w:szCs w:val="20"/>
        </w:rPr>
        <w:t xml:space="preserve">(13) </w:t>
      </w:r>
      <w:r w:rsidRPr="00EA1615">
        <w:rPr>
          <w:sz w:val="20"/>
          <w:szCs w:val="20"/>
        </w:rPr>
        <w:t>Isti upravičenec lahko pridobi podporo po tem ukrepu le enkrat</w:t>
      </w:r>
      <w:bookmarkEnd w:id="0"/>
      <w:r w:rsidRPr="00EA1615">
        <w:rPr>
          <w:sz w:val="20"/>
          <w:szCs w:val="20"/>
        </w:rPr>
        <w:t xml:space="preserve">. </w:t>
      </w:r>
    </w:p>
    <w:p w:rsidR="00DA6EB9" w:rsidRPr="00EA1615" w:rsidRDefault="00DA6EB9" w:rsidP="00DA6EB9">
      <w:pPr>
        <w:pStyle w:val="Odstavekseznama"/>
        <w:rPr>
          <w:sz w:val="20"/>
          <w:szCs w:val="20"/>
        </w:rPr>
      </w:pPr>
    </w:p>
    <w:p w:rsidR="00DA6EB9" w:rsidRPr="002C5355" w:rsidRDefault="00DA6EB9" w:rsidP="00DA6EB9">
      <w:pPr>
        <w:widowControl w:val="0"/>
        <w:pBdr>
          <w:top w:val="nil"/>
          <w:left w:val="nil"/>
          <w:bottom w:val="nil"/>
          <w:right w:val="nil"/>
          <w:between w:val="nil"/>
        </w:pBdr>
        <w:spacing w:line="240" w:lineRule="auto"/>
        <w:jc w:val="both"/>
        <w:rPr>
          <w:color w:val="000000"/>
          <w:sz w:val="20"/>
          <w:szCs w:val="20"/>
        </w:rPr>
      </w:pPr>
      <w:r>
        <w:rPr>
          <w:color w:val="000000"/>
          <w:sz w:val="20"/>
          <w:szCs w:val="20"/>
        </w:rPr>
        <w:t xml:space="preserve">(14) </w:t>
      </w:r>
      <w:r w:rsidRPr="002C5355">
        <w:rPr>
          <w:color w:val="000000"/>
          <w:sz w:val="20"/>
          <w:szCs w:val="20"/>
        </w:rPr>
        <w:t xml:space="preserve">Sredstva </w:t>
      </w:r>
      <w:r>
        <w:rPr>
          <w:color w:val="000000"/>
          <w:sz w:val="20"/>
          <w:szCs w:val="20"/>
        </w:rPr>
        <w:t xml:space="preserve">po tem odloku </w:t>
      </w:r>
      <w:r w:rsidRPr="002C5355">
        <w:rPr>
          <w:color w:val="000000"/>
          <w:sz w:val="20"/>
          <w:szCs w:val="20"/>
        </w:rPr>
        <w:t>se ne dodelijo upravičencu, ki je za isti namen, kakršnega navaja v</w:t>
      </w:r>
      <w:r>
        <w:rPr>
          <w:color w:val="000000"/>
          <w:sz w:val="20"/>
          <w:szCs w:val="20"/>
        </w:rPr>
        <w:t xml:space="preserve"> zahtevku</w:t>
      </w:r>
      <w:r w:rsidRPr="002C5355">
        <w:rPr>
          <w:color w:val="000000"/>
          <w:sz w:val="20"/>
          <w:szCs w:val="20"/>
        </w:rPr>
        <w:t xml:space="preserve"> za pridobitev sredstev po te</w:t>
      </w:r>
      <w:r>
        <w:rPr>
          <w:color w:val="000000"/>
          <w:sz w:val="20"/>
          <w:szCs w:val="20"/>
        </w:rPr>
        <w:t>m odloku</w:t>
      </w:r>
      <w:r w:rsidRPr="002C5355">
        <w:rPr>
          <w:color w:val="000000"/>
          <w:sz w:val="20"/>
          <w:szCs w:val="20"/>
        </w:rPr>
        <w:t xml:space="preserve">, že prejel javna sredstva Republike Slovenije ali sredstva Evropske </w:t>
      </w:r>
      <w:r w:rsidRPr="009C6320">
        <w:rPr>
          <w:color w:val="000000"/>
          <w:sz w:val="20"/>
          <w:szCs w:val="20"/>
        </w:rPr>
        <w:t xml:space="preserve">unije. </w:t>
      </w:r>
    </w:p>
    <w:p w:rsidR="00066475" w:rsidRDefault="00066475"/>
    <w:sectPr w:rsidR="00066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B3"/>
    <w:rsid w:val="00066475"/>
    <w:rsid w:val="00304EC5"/>
    <w:rsid w:val="004012B3"/>
    <w:rsid w:val="00DA6E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012B3"/>
    <w:pPr>
      <w:spacing w:after="0"/>
    </w:pPr>
    <w:rPr>
      <w:rFonts w:ascii="Arial" w:eastAsia="Arial" w:hAnsi="Arial" w:cs="Arial"/>
      <w:lang w:val="sl"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4012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012B3"/>
    <w:pPr>
      <w:spacing w:after="0"/>
    </w:pPr>
    <w:rPr>
      <w:rFonts w:ascii="Arial" w:eastAsia="Arial" w:hAnsi="Arial" w:cs="Arial"/>
      <w:lang w:val="sl"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401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457</Words>
  <Characters>2611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Vojko Bizjak</dc:creator>
  <cp:lastModifiedBy>Vojko Bizjak</cp:lastModifiedBy>
  <cp:revision>2</cp:revision>
  <dcterms:created xsi:type="dcterms:W3CDTF">2020-04-29T10:54:00Z</dcterms:created>
  <dcterms:modified xsi:type="dcterms:W3CDTF">2020-04-29T16:33:00Z</dcterms:modified>
</cp:coreProperties>
</file>