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D321E" w14:textId="574EB69A" w:rsidR="00A22053" w:rsidRPr="00A22053" w:rsidRDefault="00A22053" w:rsidP="00A22053">
      <w:pPr>
        <w:spacing w:after="0" w:line="240" w:lineRule="auto"/>
        <w:rPr>
          <w:rFonts w:ascii="Calibri" w:hAnsi="Calibri" w:cs="Calibri"/>
          <w:sz w:val="36"/>
        </w:rPr>
      </w:pPr>
      <w:bookmarkStart w:id="0" w:name="_GoBack"/>
      <w:bookmarkEnd w:id="0"/>
      <w:r w:rsidRPr="00A22053">
        <w:rPr>
          <w:rFonts w:ascii="Calibri" w:hAnsi="Calibri" w:cs="Calibri"/>
          <w:sz w:val="36"/>
        </w:rPr>
        <w:t>V SREDIŠČU – ZBIRNE VLOGE</w:t>
      </w:r>
    </w:p>
    <w:p w14:paraId="63468256" w14:textId="77777777" w:rsidR="00904264" w:rsidRDefault="00904264" w:rsidP="00A22053">
      <w:pPr>
        <w:spacing w:after="0" w:line="240" w:lineRule="auto"/>
        <w:rPr>
          <w:rFonts w:ascii="Calibri" w:hAnsi="Calibri" w:cs="Calibri"/>
          <w:sz w:val="32"/>
        </w:rPr>
      </w:pPr>
    </w:p>
    <w:p w14:paraId="1273D390" w14:textId="33D73CDC" w:rsidR="00A22053" w:rsidRPr="00A22053" w:rsidRDefault="00A22053" w:rsidP="00A22053">
      <w:pPr>
        <w:spacing w:after="0" w:line="240" w:lineRule="auto"/>
        <w:rPr>
          <w:rFonts w:ascii="Calibri" w:hAnsi="Calibri" w:cs="Calibri"/>
          <w:sz w:val="32"/>
        </w:rPr>
      </w:pPr>
      <w:r w:rsidRPr="00A22053">
        <w:rPr>
          <w:rFonts w:ascii="Calibri" w:hAnsi="Calibri" w:cs="Calibri"/>
          <w:sz w:val="32"/>
        </w:rPr>
        <w:t>Pogojenost 2026: ključne novosti in pojasnila iz prakse</w:t>
      </w:r>
    </w:p>
    <w:p w14:paraId="4590FDFF" w14:textId="77777777" w:rsidR="00904264" w:rsidRDefault="00904264" w:rsidP="00A22053">
      <w:pPr>
        <w:spacing w:after="0" w:line="240" w:lineRule="auto"/>
        <w:rPr>
          <w:rFonts w:ascii="Calibri" w:hAnsi="Calibri" w:cs="Calibri"/>
          <w:sz w:val="28"/>
        </w:rPr>
      </w:pPr>
    </w:p>
    <w:p w14:paraId="01A5B026" w14:textId="230302D9" w:rsidR="002E4366" w:rsidRPr="00A22053" w:rsidRDefault="00A22053" w:rsidP="00A22053">
      <w:pPr>
        <w:spacing w:after="0" w:line="240" w:lineRule="auto"/>
        <w:rPr>
          <w:rFonts w:ascii="Calibri" w:hAnsi="Calibri" w:cs="Calibri"/>
          <w:sz w:val="28"/>
        </w:rPr>
      </w:pPr>
      <w:r w:rsidRPr="00A22053">
        <w:rPr>
          <w:rFonts w:ascii="Calibri" w:hAnsi="Calibri" w:cs="Calibri"/>
          <w:sz w:val="28"/>
        </w:rPr>
        <w:t>Spremembe uredbe prinašajo več jasnosti pri izvajanju, nadzoru in povezavi z drugimi ukrepi SKP</w:t>
      </w:r>
    </w:p>
    <w:p w14:paraId="15C30705" w14:textId="77777777" w:rsidR="00A22053" w:rsidRDefault="00A22053" w:rsidP="00A22053">
      <w:pPr>
        <w:spacing w:after="0" w:line="240" w:lineRule="auto"/>
        <w:rPr>
          <w:rFonts w:ascii="Calibri" w:hAnsi="Calibri" w:cs="Calibri"/>
        </w:rPr>
      </w:pPr>
    </w:p>
    <w:p w14:paraId="52255724" w14:textId="5240A9E8" w:rsidR="002D4898" w:rsidRPr="00A22053" w:rsidRDefault="002D4898" w:rsidP="00A22053">
      <w:pPr>
        <w:spacing w:after="0" w:line="240" w:lineRule="auto"/>
        <w:rPr>
          <w:rFonts w:ascii="Calibri" w:hAnsi="Calibri" w:cs="Calibri"/>
        </w:rPr>
      </w:pPr>
      <w:r w:rsidRPr="00A22053">
        <w:rPr>
          <w:rFonts w:ascii="Calibri" w:hAnsi="Calibri" w:cs="Calibri"/>
        </w:rPr>
        <w:t>Ob koncu leta 2025 so bile sprejete dodatne spremembe Uredbe o pravilih pogojenosti. Te ne spreminjajo temeljnih ciljev, temveč predvsem razlage izvajanja, nadzor ter povezavo z drugimi ukrepi SKP. Pogojenost ostaja osnova za prejem plačil, pravila pa se vse bolj prilagajajo dejanskim razmeram na terenu.</w:t>
      </w:r>
    </w:p>
    <w:p w14:paraId="1ADF706B" w14:textId="77777777" w:rsidR="002E4366" w:rsidRPr="00A22053" w:rsidRDefault="002E4366" w:rsidP="00A22053">
      <w:pPr>
        <w:spacing w:after="0" w:line="240" w:lineRule="auto"/>
        <w:rPr>
          <w:rFonts w:ascii="Calibri" w:hAnsi="Calibri" w:cs="Calibri"/>
        </w:rPr>
      </w:pPr>
    </w:p>
    <w:p w14:paraId="15C3F78E" w14:textId="77777777" w:rsidR="002E4366" w:rsidRPr="00A22053" w:rsidRDefault="002D4898" w:rsidP="00A22053">
      <w:pPr>
        <w:spacing w:after="0" w:line="240" w:lineRule="auto"/>
        <w:rPr>
          <w:rFonts w:ascii="Calibri" w:hAnsi="Calibri" w:cs="Calibri"/>
          <w:sz w:val="28"/>
        </w:rPr>
      </w:pPr>
      <w:r w:rsidRPr="00A22053">
        <w:rPr>
          <w:rFonts w:ascii="Calibri" w:hAnsi="Calibri" w:cs="Calibri"/>
          <w:b/>
          <w:bCs/>
          <w:sz w:val="28"/>
        </w:rPr>
        <w:t>Manjše kmetije in povezava s SOPO</w:t>
      </w:r>
    </w:p>
    <w:p w14:paraId="7D8CE022" w14:textId="61264F7A" w:rsidR="002D4898" w:rsidRPr="00A22053" w:rsidRDefault="002D4898" w:rsidP="00A22053">
      <w:pPr>
        <w:spacing w:after="0" w:line="240" w:lineRule="auto"/>
        <w:rPr>
          <w:rFonts w:ascii="Calibri" w:hAnsi="Calibri" w:cs="Calibri"/>
        </w:rPr>
      </w:pPr>
      <w:r w:rsidRPr="00A22053">
        <w:rPr>
          <w:rFonts w:ascii="Calibri" w:hAnsi="Calibri" w:cs="Calibri"/>
        </w:rPr>
        <w:t>Kmetije z manj kot 10 ha KZU morajo pravila pogojenosti še vedno spoštovati, vendar niso predmet upravnih sankcij, če uveljavljajo le neposredna plačila. Drugače je pri vključitvi v SOPO sheme, kjer se zahteve, ki se vsebinsko prekrivajo s pogojenostjo, preverjajo in sankcionirajo v okviru posamezne sheme.</w:t>
      </w:r>
    </w:p>
    <w:p w14:paraId="576C05AF" w14:textId="77777777" w:rsidR="002E4366" w:rsidRPr="00A22053" w:rsidRDefault="002E4366" w:rsidP="00A22053">
      <w:pPr>
        <w:spacing w:after="0" w:line="240" w:lineRule="auto"/>
        <w:rPr>
          <w:rFonts w:ascii="Calibri" w:hAnsi="Calibri" w:cs="Calibri"/>
          <w:b/>
          <w:bCs/>
        </w:rPr>
      </w:pPr>
    </w:p>
    <w:p w14:paraId="361ED8D0" w14:textId="08E86B60" w:rsidR="002D4898" w:rsidRPr="00A22053" w:rsidRDefault="002D4898" w:rsidP="00A22053">
      <w:pPr>
        <w:spacing w:after="0" w:line="240" w:lineRule="auto"/>
        <w:rPr>
          <w:rFonts w:ascii="Calibri" w:hAnsi="Calibri" w:cs="Calibri"/>
          <w:sz w:val="28"/>
        </w:rPr>
      </w:pPr>
      <w:r w:rsidRPr="00A22053">
        <w:rPr>
          <w:rFonts w:ascii="Calibri" w:hAnsi="Calibri" w:cs="Calibri"/>
          <w:b/>
          <w:bCs/>
          <w:sz w:val="28"/>
        </w:rPr>
        <w:t>DKOP 4 – varovalni pasovi ob vodotokih</w:t>
      </w:r>
    </w:p>
    <w:p w14:paraId="207F7350" w14:textId="6E2DBC5C" w:rsidR="002D4898" w:rsidRPr="00A22053" w:rsidRDefault="002D4898" w:rsidP="00A22053">
      <w:pPr>
        <w:spacing w:after="0" w:line="240" w:lineRule="auto"/>
        <w:rPr>
          <w:rFonts w:ascii="Calibri" w:hAnsi="Calibri" w:cs="Calibri"/>
        </w:rPr>
      </w:pPr>
      <w:r w:rsidRPr="00A22053">
        <w:rPr>
          <w:rFonts w:ascii="Calibri" w:hAnsi="Calibri" w:cs="Calibri"/>
        </w:rPr>
        <w:t>Grafični sloji v RKG so informativni, izpolnjevanje DKOP 4 pa se preverja na terenu z merjenjem od meje brega vodotoka. Težave z invazivnimi rastlinami, ki se širijo z vodnih ali infrastrukturnih objektov in niso pod vplivom kmeta, so prepoznane, vendar so za njihovo reševanje pristojni drugi resorji, na kar opozarja tudi MKGP.</w:t>
      </w:r>
    </w:p>
    <w:p w14:paraId="65D7CEB3" w14:textId="77777777" w:rsidR="002E4366" w:rsidRPr="00A22053" w:rsidRDefault="002E4366" w:rsidP="00A22053">
      <w:pPr>
        <w:spacing w:after="0" w:line="240" w:lineRule="auto"/>
        <w:rPr>
          <w:rFonts w:ascii="Calibri" w:hAnsi="Calibri" w:cs="Calibri"/>
          <w:b/>
          <w:bCs/>
        </w:rPr>
      </w:pPr>
    </w:p>
    <w:p w14:paraId="742C7E21" w14:textId="6622F32C" w:rsidR="002D4898" w:rsidRPr="00A22053" w:rsidRDefault="002D4898" w:rsidP="00A22053">
      <w:pPr>
        <w:spacing w:after="0" w:line="240" w:lineRule="auto"/>
        <w:rPr>
          <w:rFonts w:ascii="Calibri" w:hAnsi="Calibri" w:cs="Calibri"/>
          <w:sz w:val="28"/>
        </w:rPr>
      </w:pPr>
      <w:r w:rsidRPr="00A22053">
        <w:rPr>
          <w:rFonts w:ascii="Calibri" w:hAnsi="Calibri" w:cs="Calibri"/>
          <w:b/>
          <w:bCs/>
          <w:sz w:val="28"/>
        </w:rPr>
        <w:t>DKOP 6 – pokritost tal pozimi</w:t>
      </w:r>
    </w:p>
    <w:p w14:paraId="54777A62" w14:textId="778CEB51" w:rsidR="002D4898" w:rsidRPr="00A22053" w:rsidRDefault="002D4898" w:rsidP="00A22053">
      <w:pPr>
        <w:spacing w:after="0" w:line="240" w:lineRule="auto"/>
        <w:rPr>
          <w:rFonts w:ascii="Calibri" w:hAnsi="Calibri" w:cs="Calibri"/>
        </w:rPr>
      </w:pPr>
      <w:r w:rsidRPr="00A22053">
        <w:rPr>
          <w:rFonts w:ascii="Calibri" w:hAnsi="Calibri" w:cs="Calibri"/>
        </w:rPr>
        <w:t>Med izjeme sodijo tudi jara žita, če je bila setev načrtovana že jeseni. Kadar vremenske razmere setev onemogočijo, mora kmet uveljavljati višjo silo. Površine z rastlinskimi ostanki ali nepreorane njive se štejejo kot ustrezno pokrite. Zahteva 80-odstotne pokritosti ostaja nespremenjena.</w:t>
      </w:r>
    </w:p>
    <w:p w14:paraId="5C66399D" w14:textId="77777777" w:rsidR="002E4366" w:rsidRPr="00A22053" w:rsidRDefault="002E4366" w:rsidP="00A22053">
      <w:pPr>
        <w:spacing w:after="0" w:line="240" w:lineRule="auto"/>
        <w:rPr>
          <w:rFonts w:ascii="Calibri" w:hAnsi="Calibri" w:cs="Calibri"/>
          <w:b/>
          <w:bCs/>
        </w:rPr>
      </w:pPr>
    </w:p>
    <w:p w14:paraId="40330E57" w14:textId="2321A290" w:rsidR="002D4898" w:rsidRPr="00A22053" w:rsidRDefault="002D4898" w:rsidP="00A22053">
      <w:pPr>
        <w:spacing w:after="0" w:line="240" w:lineRule="auto"/>
        <w:rPr>
          <w:rFonts w:ascii="Calibri" w:hAnsi="Calibri" w:cs="Calibri"/>
          <w:sz w:val="28"/>
        </w:rPr>
      </w:pPr>
      <w:r w:rsidRPr="00A22053">
        <w:rPr>
          <w:rFonts w:ascii="Calibri" w:hAnsi="Calibri" w:cs="Calibri"/>
          <w:b/>
          <w:bCs/>
          <w:sz w:val="28"/>
        </w:rPr>
        <w:t>DKOP 7 – kolobar</w:t>
      </w:r>
    </w:p>
    <w:p w14:paraId="069EF5E5" w14:textId="080EFDF6" w:rsidR="002D4898" w:rsidRPr="00A22053" w:rsidRDefault="002E4366" w:rsidP="00A22053">
      <w:pPr>
        <w:spacing w:after="0" w:line="240" w:lineRule="auto"/>
        <w:rPr>
          <w:rFonts w:ascii="Calibri" w:hAnsi="Calibri" w:cs="Calibri"/>
        </w:rPr>
      </w:pPr>
      <w:r w:rsidRPr="00A22053">
        <w:rPr>
          <w:rFonts w:ascii="Calibri" w:hAnsi="Calibri" w:cs="Calibri"/>
        </w:rPr>
        <w:t xml:space="preserve">Predlagane poenostavitve </w:t>
      </w:r>
      <w:r w:rsidR="00360182">
        <w:rPr>
          <w:rFonts w:ascii="Calibri" w:hAnsi="Calibri" w:cs="Calibri"/>
        </w:rPr>
        <w:t>v</w:t>
      </w:r>
      <w:r w:rsidRPr="00A22053">
        <w:rPr>
          <w:rFonts w:ascii="Calibri" w:hAnsi="Calibri" w:cs="Calibri"/>
        </w:rPr>
        <w:t xml:space="preserve"> Evropsk</w:t>
      </w:r>
      <w:r w:rsidR="00360182">
        <w:rPr>
          <w:rFonts w:ascii="Calibri" w:hAnsi="Calibri" w:cs="Calibri"/>
        </w:rPr>
        <w:t>i</w:t>
      </w:r>
      <w:r w:rsidRPr="00A22053">
        <w:rPr>
          <w:rFonts w:ascii="Calibri" w:hAnsi="Calibri" w:cs="Calibri"/>
        </w:rPr>
        <w:t xml:space="preserve"> komisij</w:t>
      </w:r>
      <w:r w:rsidR="00360182">
        <w:rPr>
          <w:rFonts w:ascii="Calibri" w:hAnsi="Calibri" w:cs="Calibri"/>
        </w:rPr>
        <w:t>i</w:t>
      </w:r>
      <w:r w:rsidRPr="00A22053">
        <w:rPr>
          <w:rFonts w:ascii="Calibri" w:hAnsi="Calibri" w:cs="Calibri"/>
        </w:rPr>
        <w:t xml:space="preserve"> niso bile sprejete. </w:t>
      </w:r>
      <w:r w:rsidR="002D4898" w:rsidRPr="00A22053">
        <w:rPr>
          <w:rFonts w:ascii="Calibri" w:hAnsi="Calibri" w:cs="Calibri"/>
        </w:rPr>
        <w:t xml:space="preserve">Tudi </w:t>
      </w:r>
      <w:r w:rsidRPr="00A22053">
        <w:rPr>
          <w:rFonts w:ascii="Calibri" w:hAnsi="Calibri" w:cs="Calibri"/>
        </w:rPr>
        <w:t>»</w:t>
      </w:r>
      <w:r w:rsidR="002D4898" w:rsidRPr="00A22053">
        <w:rPr>
          <w:rFonts w:ascii="Calibri" w:hAnsi="Calibri" w:cs="Calibri"/>
        </w:rPr>
        <w:t>intenzivni</w:t>
      </w:r>
      <w:r w:rsidRPr="00A22053">
        <w:rPr>
          <w:rFonts w:ascii="Calibri" w:hAnsi="Calibri" w:cs="Calibri"/>
        </w:rPr>
        <w:t>«</w:t>
      </w:r>
      <w:r w:rsidR="002D4898" w:rsidRPr="00A22053">
        <w:rPr>
          <w:rFonts w:ascii="Calibri" w:hAnsi="Calibri" w:cs="Calibri"/>
        </w:rPr>
        <w:t xml:space="preserve"> kolobarji (npr. izmenjava koruze in žit) so lahko skladni, če so izpolnjeni </w:t>
      </w:r>
      <w:proofErr w:type="spellStart"/>
      <w:r w:rsidR="002D4898" w:rsidRPr="00A22053">
        <w:rPr>
          <w:rFonts w:ascii="Calibri" w:hAnsi="Calibri" w:cs="Calibri"/>
        </w:rPr>
        <w:t>odstotkovni</w:t>
      </w:r>
      <w:proofErr w:type="spellEnd"/>
      <w:r w:rsidR="002D4898" w:rsidRPr="00A22053">
        <w:rPr>
          <w:rFonts w:ascii="Calibri" w:hAnsi="Calibri" w:cs="Calibri"/>
        </w:rPr>
        <w:t xml:space="preserve"> deleži menjave posevkov. Zahteve izhajajo iz strateškega načrta in jih brez postopka </w:t>
      </w:r>
      <w:r w:rsidRPr="00A22053">
        <w:rPr>
          <w:rFonts w:ascii="Calibri" w:hAnsi="Calibri" w:cs="Calibri"/>
        </w:rPr>
        <w:t>spremembe strateškega načrta</w:t>
      </w:r>
      <w:r w:rsidR="002D4898" w:rsidRPr="00A22053">
        <w:rPr>
          <w:rFonts w:ascii="Calibri" w:hAnsi="Calibri" w:cs="Calibri"/>
        </w:rPr>
        <w:t xml:space="preserve"> ni mogoče spreminjati.</w:t>
      </w:r>
    </w:p>
    <w:p w14:paraId="6C24BFB4" w14:textId="77777777" w:rsidR="002E4366" w:rsidRPr="00A22053" w:rsidRDefault="002E4366" w:rsidP="00A22053">
      <w:pPr>
        <w:spacing w:after="0" w:line="240" w:lineRule="auto"/>
        <w:rPr>
          <w:rFonts w:ascii="Calibri" w:hAnsi="Calibri" w:cs="Calibri"/>
          <w:b/>
          <w:bCs/>
        </w:rPr>
      </w:pPr>
    </w:p>
    <w:p w14:paraId="7159B21A" w14:textId="77777777" w:rsidR="002E4366" w:rsidRPr="00A22053" w:rsidRDefault="002E4366" w:rsidP="00A22053">
      <w:pPr>
        <w:spacing w:after="0" w:line="240" w:lineRule="auto"/>
        <w:rPr>
          <w:rFonts w:ascii="Calibri" w:hAnsi="Calibri" w:cs="Calibri"/>
          <w:b/>
          <w:bCs/>
        </w:rPr>
      </w:pPr>
    </w:p>
    <w:p w14:paraId="1B300772" w14:textId="58DB5506" w:rsidR="002E4366" w:rsidRPr="00A22053" w:rsidRDefault="002E4366" w:rsidP="00A22053">
      <w:pPr>
        <w:spacing w:after="0" w:line="240" w:lineRule="auto"/>
        <w:rPr>
          <w:rFonts w:ascii="Calibri" w:hAnsi="Calibri" w:cs="Calibri"/>
          <w:sz w:val="28"/>
        </w:rPr>
      </w:pPr>
      <w:r w:rsidRPr="00A22053">
        <w:rPr>
          <w:rFonts w:ascii="Calibri" w:hAnsi="Calibri" w:cs="Calibri"/>
          <w:b/>
          <w:bCs/>
          <w:sz w:val="28"/>
        </w:rPr>
        <w:t>Dobrobit živali in nacionalna pravila</w:t>
      </w:r>
    </w:p>
    <w:p w14:paraId="1C9A6BA5" w14:textId="6B98E3EB" w:rsidR="002E4366" w:rsidRPr="00A22053" w:rsidRDefault="002E4366" w:rsidP="00A22053">
      <w:pPr>
        <w:spacing w:after="0" w:line="240" w:lineRule="auto"/>
        <w:rPr>
          <w:rFonts w:ascii="Calibri" w:hAnsi="Calibri" w:cs="Calibri"/>
        </w:rPr>
      </w:pPr>
      <w:r w:rsidRPr="00A22053">
        <w:rPr>
          <w:rFonts w:ascii="Calibri" w:hAnsi="Calibri" w:cs="Calibri"/>
        </w:rPr>
        <w:t>Pri pogojenosti se upošteva tudi strožja nacionalna zakonodaja, kadar ta nadgrajuje evropske zahteve. To je posebej pomembno pri reji prašičev, telet in splošnih pogojih reje.</w:t>
      </w:r>
      <w:r w:rsidR="001F6A16" w:rsidRPr="00A22053">
        <w:rPr>
          <w:rFonts w:ascii="Calibri" w:hAnsi="Calibri" w:cs="Calibri"/>
        </w:rPr>
        <w:t xml:space="preserve"> V izvajanje pravil pogojenosti je tako vnesen nov način kastracije pujskov.</w:t>
      </w:r>
    </w:p>
    <w:p w14:paraId="7385FA05" w14:textId="77777777" w:rsidR="002E4366" w:rsidRPr="00A22053" w:rsidRDefault="002E4366" w:rsidP="00A22053">
      <w:pPr>
        <w:spacing w:after="0" w:line="240" w:lineRule="auto"/>
        <w:rPr>
          <w:rFonts w:ascii="Calibri" w:hAnsi="Calibri" w:cs="Calibri"/>
          <w:b/>
          <w:bCs/>
        </w:rPr>
      </w:pPr>
    </w:p>
    <w:p w14:paraId="6836DF74" w14:textId="77777777" w:rsidR="001F6A16" w:rsidRPr="00A22053" w:rsidRDefault="001F6A16" w:rsidP="00A22053">
      <w:pPr>
        <w:spacing w:after="0" w:line="240" w:lineRule="auto"/>
        <w:rPr>
          <w:rFonts w:ascii="Calibri" w:hAnsi="Calibri" w:cs="Calibri"/>
          <w:sz w:val="28"/>
        </w:rPr>
      </w:pPr>
      <w:r w:rsidRPr="00A22053">
        <w:rPr>
          <w:rFonts w:ascii="Calibri" w:hAnsi="Calibri" w:cs="Calibri"/>
          <w:b/>
          <w:bCs/>
          <w:sz w:val="28"/>
        </w:rPr>
        <w:t>Sankcije – stopnjevanje in ponovitve</w:t>
      </w:r>
    </w:p>
    <w:p w14:paraId="1C27425B" w14:textId="77777777" w:rsidR="001F6A16" w:rsidRPr="00A22053" w:rsidRDefault="001F6A16" w:rsidP="00A22053">
      <w:pPr>
        <w:spacing w:after="0" w:line="240" w:lineRule="auto"/>
        <w:rPr>
          <w:rFonts w:ascii="Calibri" w:hAnsi="Calibri" w:cs="Calibri"/>
        </w:rPr>
      </w:pPr>
      <w:r w:rsidRPr="00A22053">
        <w:rPr>
          <w:rFonts w:ascii="Calibri" w:hAnsi="Calibri" w:cs="Calibri"/>
        </w:rPr>
        <w:lastRenderedPageBreak/>
        <w:t>Pri nenamernih kršitvah je najpogostejša sankcija okoli 3 %, pri ponovitvah pa se hitro povečuje. Pri DKOP 6 se upošteva delež nepokritih površin, pri DKOP 4 pa teža in obseg kršitve. Pri OOTT (DKOP 9) so sankcije posebej visoke in se z leti stopnjujejo.</w:t>
      </w:r>
    </w:p>
    <w:p w14:paraId="1128DB6E" w14:textId="42317173" w:rsidR="001F6A16" w:rsidRPr="00A22053" w:rsidRDefault="001F6A16" w:rsidP="00A22053">
      <w:pPr>
        <w:spacing w:after="0" w:line="240" w:lineRule="auto"/>
        <w:rPr>
          <w:rFonts w:ascii="Calibri" w:hAnsi="Calibri" w:cs="Calibri"/>
        </w:rPr>
      </w:pPr>
      <w:r w:rsidRPr="00A22053">
        <w:rPr>
          <w:rFonts w:ascii="Calibri" w:hAnsi="Calibri" w:cs="Calibri"/>
        </w:rPr>
        <w:t>Sankcije se seštevajo po skupinah kršitev (ne več po področjih kot v CC)</w:t>
      </w:r>
      <w:r w:rsidR="00360182">
        <w:rPr>
          <w:rFonts w:ascii="Calibri" w:hAnsi="Calibri" w:cs="Calibri"/>
        </w:rPr>
        <w:t>,</w:t>
      </w:r>
      <w:r w:rsidRPr="00A22053">
        <w:rPr>
          <w:rFonts w:ascii="Calibri" w:hAnsi="Calibri" w:cs="Calibri"/>
        </w:rPr>
        <w:t xml:space="preserve"> vendar:</w:t>
      </w:r>
    </w:p>
    <w:p w14:paraId="6776C70E" w14:textId="36FB5BB7" w:rsidR="001F6A16" w:rsidRPr="00A22053" w:rsidRDefault="001F6A16" w:rsidP="00A22053">
      <w:pPr>
        <w:pStyle w:val="Odstavekseznama"/>
        <w:numPr>
          <w:ilvl w:val="0"/>
          <w:numId w:val="2"/>
        </w:numPr>
        <w:spacing w:after="0" w:line="240" w:lineRule="auto"/>
        <w:rPr>
          <w:rFonts w:ascii="Calibri" w:hAnsi="Calibri" w:cs="Calibri"/>
        </w:rPr>
      </w:pPr>
      <w:r w:rsidRPr="00A22053">
        <w:rPr>
          <w:rFonts w:ascii="Calibri" w:hAnsi="Calibri" w:cs="Calibri"/>
        </w:rPr>
        <w:t>za več nenamernih kršitev ne več kot 5</w:t>
      </w:r>
      <w:r w:rsidR="00360182">
        <w:rPr>
          <w:rFonts w:ascii="Calibri" w:hAnsi="Calibri" w:cs="Calibri"/>
        </w:rPr>
        <w:t xml:space="preserve"> </w:t>
      </w:r>
      <w:r w:rsidRPr="00A22053">
        <w:rPr>
          <w:rFonts w:ascii="Calibri" w:hAnsi="Calibri" w:cs="Calibri"/>
        </w:rPr>
        <w:t>% oz. 10</w:t>
      </w:r>
      <w:r w:rsidR="00360182">
        <w:rPr>
          <w:rFonts w:ascii="Calibri" w:hAnsi="Calibri" w:cs="Calibri"/>
        </w:rPr>
        <w:t xml:space="preserve"> </w:t>
      </w:r>
      <w:r w:rsidRPr="00A22053">
        <w:rPr>
          <w:rFonts w:ascii="Calibri" w:hAnsi="Calibri" w:cs="Calibri"/>
        </w:rPr>
        <w:t>%, če ima vsaj ena kršitev resne posledice za doseganje ciljev standarda oziroma zahteve ali ima resne posledice za javno zdravje ali zdravje živali;</w:t>
      </w:r>
    </w:p>
    <w:p w14:paraId="52BF487D" w14:textId="63FA462F" w:rsidR="001F6A16" w:rsidRPr="00A22053" w:rsidRDefault="001F6A16" w:rsidP="00A22053">
      <w:pPr>
        <w:pStyle w:val="Odstavekseznama"/>
        <w:numPr>
          <w:ilvl w:val="0"/>
          <w:numId w:val="2"/>
        </w:numPr>
        <w:spacing w:after="0" w:line="240" w:lineRule="auto"/>
        <w:rPr>
          <w:rFonts w:ascii="Calibri" w:hAnsi="Calibri" w:cs="Calibri"/>
        </w:rPr>
      </w:pPr>
      <w:r w:rsidRPr="00A22053">
        <w:rPr>
          <w:rFonts w:ascii="Calibri" w:hAnsi="Calibri" w:cs="Calibri"/>
        </w:rPr>
        <w:t>za več prvič ponavljajočih ne več kot 20</w:t>
      </w:r>
      <w:r w:rsidR="00360182">
        <w:rPr>
          <w:rFonts w:ascii="Calibri" w:hAnsi="Calibri" w:cs="Calibri"/>
        </w:rPr>
        <w:t xml:space="preserve"> </w:t>
      </w:r>
      <w:r w:rsidRPr="00A22053">
        <w:rPr>
          <w:rFonts w:ascii="Calibri" w:hAnsi="Calibri" w:cs="Calibri"/>
        </w:rPr>
        <w:t xml:space="preserve">%; </w:t>
      </w:r>
    </w:p>
    <w:p w14:paraId="0F4CCC8A" w14:textId="64FD8657" w:rsidR="001F6A16" w:rsidRPr="00A22053" w:rsidRDefault="001F6A16" w:rsidP="00A22053">
      <w:pPr>
        <w:pStyle w:val="Odstavekseznama"/>
        <w:numPr>
          <w:ilvl w:val="0"/>
          <w:numId w:val="2"/>
        </w:numPr>
        <w:spacing w:after="0" w:line="240" w:lineRule="auto"/>
        <w:rPr>
          <w:rFonts w:ascii="Calibri" w:hAnsi="Calibri" w:cs="Calibri"/>
        </w:rPr>
      </w:pPr>
      <w:r w:rsidRPr="00A22053">
        <w:rPr>
          <w:rFonts w:ascii="Calibri" w:hAnsi="Calibri" w:cs="Calibri"/>
        </w:rPr>
        <w:t>za namerne ni omejitve do 100</w:t>
      </w:r>
      <w:r w:rsidR="00360182">
        <w:rPr>
          <w:rFonts w:ascii="Calibri" w:hAnsi="Calibri" w:cs="Calibri"/>
        </w:rPr>
        <w:t xml:space="preserve"> </w:t>
      </w:r>
      <w:r w:rsidRPr="00A22053">
        <w:rPr>
          <w:rFonts w:ascii="Calibri" w:hAnsi="Calibri" w:cs="Calibri"/>
        </w:rPr>
        <w:t>% sredstev</w:t>
      </w:r>
      <w:r w:rsidR="00360182">
        <w:rPr>
          <w:rFonts w:ascii="Calibri" w:hAnsi="Calibri" w:cs="Calibri"/>
        </w:rPr>
        <w:t>,</w:t>
      </w:r>
      <w:r w:rsidRPr="00A22053">
        <w:rPr>
          <w:rFonts w:ascii="Calibri" w:hAnsi="Calibri" w:cs="Calibri"/>
        </w:rPr>
        <w:t xml:space="preserve"> do katerih je upravičen zavezanec.</w:t>
      </w:r>
    </w:p>
    <w:p w14:paraId="104F778B" w14:textId="1DDF2723" w:rsidR="001F6A16" w:rsidRPr="00A22053" w:rsidRDefault="001F6A16" w:rsidP="00A22053">
      <w:pPr>
        <w:spacing w:after="0" w:line="240" w:lineRule="auto"/>
        <w:rPr>
          <w:rFonts w:ascii="Calibri" w:hAnsi="Calibri" w:cs="Calibri"/>
        </w:rPr>
      </w:pPr>
      <w:r w:rsidRPr="00A22053">
        <w:rPr>
          <w:rFonts w:ascii="Calibri" w:hAnsi="Calibri" w:cs="Calibri"/>
        </w:rPr>
        <w:t xml:space="preserve">Če se pojavi več nenamernih, ponavljajočih </w:t>
      </w:r>
      <w:r w:rsidR="00360182">
        <w:rPr>
          <w:rFonts w:ascii="Calibri" w:hAnsi="Calibri" w:cs="Calibri"/>
        </w:rPr>
        <w:t xml:space="preserve">se </w:t>
      </w:r>
      <w:r w:rsidRPr="00A22053">
        <w:rPr>
          <w:rFonts w:ascii="Calibri" w:hAnsi="Calibri" w:cs="Calibri"/>
        </w:rPr>
        <w:t>ali namernih kršitev</w:t>
      </w:r>
      <w:r w:rsidR="00360182">
        <w:rPr>
          <w:rFonts w:ascii="Calibri" w:hAnsi="Calibri" w:cs="Calibri"/>
        </w:rPr>
        <w:t>,</w:t>
      </w:r>
      <w:r w:rsidRPr="00A22053">
        <w:rPr>
          <w:rFonts w:ascii="Calibri" w:hAnsi="Calibri" w:cs="Calibri"/>
        </w:rPr>
        <w:t xml:space="preserve"> se te med seboj seštevajo</w:t>
      </w:r>
      <w:r w:rsidR="00360182">
        <w:rPr>
          <w:rFonts w:ascii="Calibri" w:hAnsi="Calibri" w:cs="Calibri"/>
        </w:rPr>
        <w:t>,</w:t>
      </w:r>
      <w:r w:rsidRPr="00A22053">
        <w:rPr>
          <w:rFonts w:ascii="Calibri" w:hAnsi="Calibri" w:cs="Calibri"/>
        </w:rPr>
        <w:t xml:space="preserve"> potem ko je bilo opravljeno prej opisano znižanje, vendar pa seštevek sankcij ne preseže 100</w:t>
      </w:r>
      <w:r w:rsidR="00360182">
        <w:rPr>
          <w:rFonts w:ascii="Calibri" w:hAnsi="Calibri" w:cs="Calibri"/>
        </w:rPr>
        <w:t xml:space="preserve"> </w:t>
      </w:r>
      <w:r w:rsidRPr="00A22053">
        <w:rPr>
          <w:rFonts w:ascii="Calibri" w:hAnsi="Calibri" w:cs="Calibri"/>
        </w:rPr>
        <w:t>% sredstev</w:t>
      </w:r>
      <w:r w:rsidR="00360182">
        <w:rPr>
          <w:rFonts w:ascii="Calibri" w:hAnsi="Calibri" w:cs="Calibri"/>
        </w:rPr>
        <w:t xml:space="preserve"> </w:t>
      </w:r>
      <w:r w:rsidRPr="00A22053">
        <w:rPr>
          <w:rFonts w:ascii="Calibri" w:hAnsi="Calibri" w:cs="Calibri"/>
        </w:rPr>
        <w:t xml:space="preserve"> do katerih je upravičen zavezanec (NP, KOPOP, DŽ OMD, natura plačila, lokalne pasme in sorte in biotično varstvo).</w:t>
      </w:r>
    </w:p>
    <w:p w14:paraId="30C9EC07" w14:textId="77777777" w:rsidR="001F6A16" w:rsidRPr="00A22053" w:rsidRDefault="001F6A16" w:rsidP="00A22053">
      <w:pPr>
        <w:spacing w:after="0" w:line="240" w:lineRule="auto"/>
        <w:rPr>
          <w:rFonts w:ascii="Calibri" w:hAnsi="Calibri" w:cs="Calibri"/>
          <w:b/>
          <w:bCs/>
        </w:rPr>
      </w:pPr>
    </w:p>
    <w:p w14:paraId="707F04F9" w14:textId="29294F0A" w:rsidR="002E4366" w:rsidRPr="00A22053" w:rsidRDefault="002D4898" w:rsidP="00A22053">
      <w:pPr>
        <w:spacing w:after="0" w:line="240" w:lineRule="auto"/>
        <w:rPr>
          <w:rFonts w:ascii="Calibri" w:hAnsi="Calibri" w:cs="Calibri"/>
          <w:sz w:val="28"/>
        </w:rPr>
      </w:pPr>
      <w:r w:rsidRPr="00A22053">
        <w:rPr>
          <w:rFonts w:ascii="Calibri" w:hAnsi="Calibri" w:cs="Calibri"/>
          <w:b/>
          <w:bCs/>
          <w:sz w:val="28"/>
        </w:rPr>
        <w:t>Socialna pogojenost – nova dimenzija nadzora</w:t>
      </w:r>
    </w:p>
    <w:p w14:paraId="4DF84900" w14:textId="2E96F699" w:rsidR="002D4898" w:rsidRPr="00A22053" w:rsidRDefault="002D4898" w:rsidP="00A22053">
      <w:pPr>
        <w:spacing w:after="0" w:line="240" w:lineRule="auto"/>
        <w:rPr>
          <w:rFonts w:ascii="Calibri" w:hAnsi="Calibri" w:cs="Calibri"/>
        </w:rPr>
      </w:pPr>
      <w:r w:rsidRPr="00A22053">
        <w:rPr>
          <w:rFonts w:ascii="Calibri" w:hAnsi="Calibri" w:cs="Calibri"/>
        </w:rPr>
        <w:t>Od leta 2025 se pogojenost povezuje tudi s spoštovanjem delovne in socialne zakonodaje. Kršitve s področja varnosti in zdravja pri delu, zakonitega zaposlovanja in delovnih pogojev se lahko odrazijo tudi v znižanju kmetijskih plačil. Posebno pozornost je treba nameniti ustreznim pogodbam, prijavam delavcev, varstvu pri delu ter pravilni uporabi oblik dela, kot je osebno dopolnilno delo. Nadzor izvajajo pristojne inšpekcije, ugotovljene kršitve pa se lahko prenesejo v sistem sankcioniranja znotraj SKP.</w:t>
      </w:r>
    </w:p>
    <w:p w14:paraId="6282AB16" w14:textId="77777777" w:rsidR="001F6A16" w:rsidRPr="00A22053" w:rsidRDefault="001F6A16" w:rsidP="00A22053">
      <w:pPr>
        <w:spacing w:after="0" w:line="240" w:lineRule="auto"/>
        <w:rPr>
          <w:rFonts w:ascii="Calibri" w:hAnsi="Calibri" w:cs="Calibri"/>
        </w:rPr>
      </w:pPr>
    </w:p>
    <w:p w14:paraId="474BAD05" w14:textId="3D3983D1" w:rsidR="001F6A16" w:rsidRPr="00A22053" w:rsidRDefault="001F6A16" w:rsidP="00A22053">
      <w:pPr>
        <w:spacing w:after="0" w:line="240" w:lineRule="auto"/>
        <w:rPr>
          <w:rFonts w:ascii="Calibri" w:hAnsi="Calibri" w:cs="Calibri"/>
        </w:rPr>
      </w:pPr>
      <w:r w:rsidRPr="00A22053">
        <w:rPr>
          <w:rFonts w:ascii="Calibri" w:hAnsi="Calibri" w:cs="Calibri"/>
        </w:rPr>
        <w:t>Zadnje spremembe tako ne pomenijo rahljanja okoljskih in družbenih ciljev, temveč več jasnosti pri razlagi pravil, nadzoru ter povezavi med kmetijsko in delovno zakonodajo. Ključni ostajajo dobro načrtovan kolobar, pokritost tal, urejeni varovalni pasovi ter zakonito in varno delo na kmetiji.</w:t>
      </w:r>
    </w:p>
    <w:p w14:paraId="47F81E98" w14:textId="01C01621" w:rsidR="00C23FD5" w:rsidRDefault="00C23FD5" w:rsidP="00A22053">
      <w:pPr>
        <w:spacing w:after="0" w:line="240" w:lineRule="auto"/>
        <w:rPr>
          <w:rFonts w:ascii="Calibri" w:hAnsi="Calibri" w:cs="Calibri"/>
        </w:rPr>
      </w:pPr>
    </w:p>
    <w:p w14:paraId="765AE249" w14:textId="75F10735" w:rsidR="00A22053" w:rsidRDefault="00A22053" w:rsidP="00A22053">
      <w:pPr>
        <w:spacing w:after="0" w:line="240" w:lineRule="auto"/>
        <w:rPr>
          <w:rFonts w:ascii="Calibri" w:hAnsi="Calibri" w:cs="Calibri"/>
        </w:rPr>
      </w:pPr>
      <w:r>
        <w:rPr>
          <w:rFonts w:ascii="Calibri" w:hAnsi="Calibri" w:cs="Calibri"/>
        </w:rPr>
        <w:t>Igor Hrovatič, KGZS</w:t>
      </w:r>
    </w:p>
    <w:p w14:paraId="3AAE6587" w14:textId="4F79CDD3" w:rsidR="00A22053" w:rsidRDefault="00A22053" w:rsidP="00A22053">
      <w:pPr>
        <w:spacing w:after="0" w:line="240" w:lineRule="auto"/>
        <w:rPr>
          <w:rFonts w:ascii="Calibri" w:hAnsi="Calibri" w:cs="Calibri"/>
        </w:rPr>
      </w:pPr>
    </w:p>
    <w:p w14:paraId="53DDD52F" w14:textId="77777777" w:rsidR="00A22053" w:rsidRPr="00A22053" w:rsidRDefault="00A22053" w:rsidP="00A22053">
      <w:pPr>
        <w:spacing w:after="0" w:line="240" w:lineRule="auto"/>
        <w:rPr>
          <w:rFonts w:ascii="Calibri" w:hAnsi="Calibri" w:cs="Calibri"/>
        </w:rPr>
      </w:pPr>
    </w:p>
    <w:sectPr w:rsidR="00A22053" w:rsidRPr="00A220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97478"/>
    <w:multiLevelType w:val="hybridMultilevel"/>
    <w:tmpl w:val="43AEEC1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5FA46633"/>
    <w:multiLevelType w:val="hybridMultilevel"/>
    <w:tmpl w:val="DD827AD6"/>
    <w:lvl w:ilvl="0" w:tplc="0A84E784">
      <w:start w:val="1"/>
      <w:numFmt w:val="bullet"/>
      <w:lvlText w:val=""/>
      <w:lvlJc w:val="left"/>
      <w:pPr>
        <w:tabs>
          <w:tab w:val="num" w:pos="720"/>
        </w:tabs>
        <w:ind w:left="720" w:hanging="360"/>
      </w:pPr>
      <w:rPr>
        <w:rFonts w:ascii="Wingdings 3" w:hAnsi="Wingdings 3" w:hint="default"/>
      </w:rPr>
    </w:lvl>
    <w:lvl w:ilvl="1" w:tplc="31FE6CF8">
      <w:start w:val="1"/>
      <w:numFmt w:val="bullet"/>
      <w:lvlText w:val=""/>
      <w:lvlJc w:val="left"/>
      <w:pPr>
        <w:tabs>
          <w:tab w:val="num" w:pos="1440"/>
        </w:tabs>
        <w:ind w:left="1440" w:hanging="360"/>
      </w:pPr>
      <w:rPr>
        <w:rFonts w:ascii="Wingdings 3" w:hAnsi="Wingdings 3" w:hint="default"/>
      </w:rPr>
    </w:lvl>
    <w:lvl w:ilvl="2" w:tplc="D24E8B0E">
      <w:numFmt w:val="bullet"/>
      <w:lvlText w:val=""/>
      <w:lvlJc w:val="left"/>
      <w:pPr>
        <w:tabs>
          <w:tab w:val="num" w:pos="2160"/>
        </w:tabs>
        <w:ind w:left="2160" w:hanging="360"/>
      </w:pPr>
      <w:rPr>
        <w:rFonts w:ascii="Wingdings 3" w:hAnsi="Wingdings 3" w:hint="default"/>
      </w:rPr>
    </w:lvl>
    <w:lvl w:ilvl="3" w:tplc="3DDECC78" w:tentative="1">
      <w:start w:val="1"/>
      <w:numFmt w:val="bullet"/>
      <w:lvlText w:val=""/>
      <w:lvlJc w:val="left"/>
      <w:pPr>
        <w:tabs>
          <w:tab w:val="num" w:pos="2880"/>
        </w:tabs>
        <w:ind w:left="2880" w:hanging="360"/>
      </w:pPr>
      <w:rPr>
        <w:rFonts w:ascii="Wingdings 3" w:hAnsi="Wingdings 3" w:hint="default"/>
      </w:rPr>
    </w:lvl>
    <w:lvl w:ilvl="4" w:tplc="BE5EAD96" w:tentative="1">
      <w:start w:val="1"/>
      <w:numFmt w:val="bullet"/>
      <w:lvlText w:val=""/>
      <w:lvlJc w:val="left"/>
      <w:pPr>
        <w:tabs>
          <w:tab w:val="num" w:pos="3600"/>
        </w:tabs>
        <w:ind w:left="3600" w:hanging="360"/>
      </w:pPr>
      <w:rPr>
        <w:rFonts w:ascii="Wingdings 3" w:hAnsi="Wingdings 3" w:hint="default"/>
      </w:rPr>
    </w:lvl>
    <w:lvl w:ilvl="5" w:tplc="CD000DDC" w:tentative="1">
      <w:start w:val="1"/>
      <w:numFmt w:val="bullet"/>
      <w:lvlText w:val=""/>
      <w:lvlJc w:val="left"/>
      <w:pPr>
        <w:tabs>
          <w:tab w:val="num" w:pos="4320"/>
        </w:tabs>
        <w:ind w:left="4320" w:hanging="360"/>
      </w:pPr>
      <w:rPr>
        <w:rFonts w:ascii="Wingdings 3" w:hAnsi="Wingdings 3" w:hint="default"/>
      </w:rPr>
    </w:lvl>
    <w:lvl w:ilvl="6" w:tplc="3154DA5E" w:tentative="1">
      <w:start w:val="1"/>
      <w:numFmt w:val="bullet"/>
      <w:lvlText w:val=""/>
      <w:lvlJc w:val="left"/>
      <w:pPr>
        <w:tabs>
          <w:tab w:val="num" w:pos="5040"/>
        </w:tabs>
        <w:ind w:left="5040" w:hanging="360"/>
      </w:pPr>
      <w:rPr>
        <w:rFonts w:ascii="Wingdings 3" w:hAnsi="Wingdings 3" w:hint="default"/>
      </w:rPr>
    </w:lvl>
    <w:lvl w:ilvl="7" w:tplc="E506C07A" w:tentative="1">
      <w:start w:val="1"/>
      <w:numFmt w:val="bullet"/>
      <w:lvlText w:val=""/>
      <w:lvlJc w:val="left"/>
      <w:pPr>
        <w:tabs>
          <w:tab w:val="num" w:pos="5760"/>
        </w:tabs>
        <w:ind w:left="5760" w:hanging="360"/>
      </w:pPr>
      <w:rPr>
        <w:rFonts w:ascii="Wingdings 3" w:hAnsi="Wingdings 3" w:hint="default"/>
      </w:rPr>
    </w:lvl>
    <w:lvl w:ilvl="8" w:tplc="ABF8E696" w:tentative="1">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898"/>
    <w:rsid w:val="000E61FA"/>
    <w:rsid w:val="00151A79"/>
    <w:rsid w:val="001F6A16"/>
    <w:rsid w:val="00272BC4"/>
    <w:rsid w:val="002D4898"/>
    <w:rsid w:val="002E4366"/>
    <w:rsid w:val="00360182"/>
    <w:rsid w:val="00483445"/>
    <w:rsid w:val="0082605B"/>
    <w:rsid w:val="00904264"/>
    <w:rsid w:val="00A22053"/>
    <w:rsid w:val="00B14443"/>
    <w:rsid w:val="00C23FD5"/>
    <w:rsid w:val="00D42C28"/>
    <w:rsid w:val="00E20BBD"/>
    <w:rsid w:val="00EC3A83"/>
    <w:rsid w:val="00F16848"/>
    <w:rsid w:val="00F476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25EFB"/>
  <w15:chartTrackingRefBased/>
  <w15:docId w15:val="{E3298C1E-0CE2-428C-B3AE-79462555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2D4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2D4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2D489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2D489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2D489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2D489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D489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D489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D489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D489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2D489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2D489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2D489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2D489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2D489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D489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D489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D4898"/>
    <w:rPr>
      <w:rFonts w:eastAsiaTheme="majorEastAsia" w:cstheme="majorBidi"/>
      <w:color w:val="272727" w:themeColor="text1" w:themeTint="D8"/>
    </w:rPr>
  </w:style>
  <w:style w:type="paragraph" w:styleId="Naslov">
    <w:name w:val="Title"/>
    <w:basedOn w:val="Navaden"/>
    <w:next w:val="Navaden"/>
    <w:link w:val="NaslovZnak"/>
    <w:uiPriority w:val="10"/>
    <w:qFormat/>
    <w:rsid w:val="002D4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D489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D489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D489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D4898"/>
    <w:pPr>
      <w:spacing w:before="160"/>
      <w:jc w:val="center"/>
    </w:pPr>
    <w:rPr>
      <w:i/>
      <w:iCs/>
      <w:color w:val="404040" w:themeColor="text1" w:themeTint="BF"/>
    </w:rPr>
  </w:style>
  <w:style w:type="character" w:customStyle="1" w:styleId="CitatZnak">
    <w:name w:val="Citat Znak"/>
    <w:basedOn w:val="Privzetapisavaodstavka"/>
    <w:link w:val="Citat"/>
    <w:uiPriority w:val="29"/>
    <w:rsid w:val="002D4898"/>
    <w:rPr>
      <w:i/>
      <w:iCs/>
      <w:color w:val="404040" w:themeColor="text1" w:themeTint="BF"/>
    </w:rPr>
  </w:style>
  <w:style w:type="paragraph" w:styleId="Odstavekseznama">
    <w:name w:val="List Paragraph"/>
    <w:basedOn w:val="Navaden"/>
    <w:uiPriority w:val="34"/>
    <w:qFormat/>
    <w:rsid w:val="002D4898"/>
    <w:pPr>
      <w:ind w:left="720"/>
      <w:contextualSpacing/>
    </w:pPr>
  </w:style>
  <w:style w:type="character" w:styleId="Intenzivenpoudarek">
    <w:name w:val="Intense Emphasis"/>
    <w:basedOn w:val="Privzetapisavaodstavka"/>
    <w:uiPriority w:val="21"/>
    <w:qFormat/>
    <w:rsid w:val="002D4898"/>
    <w:rPr>
      <w:i/>
      <w:iCs/>
      <w:color w:val="0F4761" w:themeColor="accent1" w:themeShade="BF"/>
    </w:rPr>
  </w:style>
  <w:style w:type="paragraph" w:styleId="Intenzivencitat">
    <w:name w:val="Intense Quote"/>
    <w:basedOn w:val="Navaden"/>
    <w:next w:val="Navaden"/>
    <w:link w:val="IntenzivencitatZnak"/>
    <w:uiPriority w:val="30"/>
    <w:qFormat/>
    <w:rsid w:val="002D4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2D4898"/>
    <w:rPr>
      <w:i/>
      <w:iCs/>
      <w:color w:val="0F4761" w:themeColor="accent1" w:themeShade="BF"/>
    </w:rPr>
  </w:style>
  <w:style w:type="character" w:styleId="Intenzivensklic">
    <w:name w:val="Intense Reference"/>
    <w:basedOn w:val="Privzetapisavaodstavka"/>
    <w:uiPriority w:val="32"/>
    <w:qFormat/>
    <w:rsid w:val="002D4898"/>
    <w:rPr>
      <w:b/>
      <w:bCs/>
      <w:smallCaps/>
      <w:color w:val="0F4761" w:themeColor="accent1" w:themeShade="BF"/>
      <w:spacing w:val="5"/>
    </w:rPr>
  </w:style>
  <w:style w:type="paragraph" w:styleId="Napis">
    <w:name w:val="caption"/>
    <w:basedOn w:val="Navaden"/>
    <w:next w:val="Navaden"/>
    <w:uiPriority w:val="35"/>
    <w:unhideWhenUsed/>
    <w:qFormat/>
    <w:rsid w:val="00483445"/>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3420</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Hrovatič</dc:creator>
  <cp:keywords/>
  <dc:description/>
  <cp:lastModifiedBy>Mojca Bozovičar</cp:lastModifiedBy>
  <cp:revision>2</cp:revision>
  <dcterms:created xsi:type="dcterms:W3CDTF">2026-02-26T14:17:00Z</dcterms:created>
  <dcterms:modified xsi:type="dcterms:W3CDTF">2026-02-26T14:17:00Z</dcterms:modified>
</cp:coreProperties>
</file>