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B2DFA" w14:textId="0850D1D2" w:rsidR="00995CD7" w:rsidRPr="00995CD7" w:rsidRDefault="00995CD7" w:rsidP="00995CD7">
      <w:pPr>
        <w:rPr>
          <w:sz w:val="36"/>
        </w:rPr>
      </w:pPr>
      <w:bookmarkStart w:id="0" w:name="_GoBack"/>
      <w:bookmarkEnd w:id="0"/>
      <w:r w:rsidRPr="00995CD7">
        <w:rPr>
          <w:sz w:val="36"/>
        </w:rPr>
        <w:t>V SREDIŠČU – ZBIRNE VLOGE</w:t>
      </w:r>
    </w:p>
    <w:p w14:paraId="3F806CC5" w14:textId="4BC8F2E6" w:rsidR="00FA47E1" w:rsidRPr="00995CD7" w:rsidRDefault="00FA47E1" w:rsidP="00995CD7">
      <w:pPr>
        <w:rPr>
          <w:sz w:val="32"/>
        </w:rPr>
      </w:pPr>
      <w:r w:rsidRPr="00995CD7">
        <w:rPr>
          <w:sz w:val="32"/>
        </w:rPr>
        <w:t>Spremembe pri KOPOP</w:t>
      </w:r>
      <w:r w:rsidR="00B3703D" w:rsidRPr="00995CD7">
        <w:rPr>
          <w:sz w:val="32"/>
        </w:rPr>
        <w:t xml:space="preserve"> za leto 2026</w:t>
      </w:r>
    </w:p>
    <w:p w14:paraId="4B5D0D02" w14:textId="4F50168B" w:rsidR="00995CD7" w:rsidRPr="00995CD7" w:rsidRDefault="00995CD7" w:rsidP="00995CD7">
      <w:pPr>
        <w:rPr>
          <w:sz w:val="28"/>
        </w:rPr>
      </w:pPr>
      <w:r w:rsidRPr="00995CD7">
        <w:rPr>
          <w:sz w:val="28"/>
        </w:rPr>
        <w:t>Ključne novosti pri okoljskih in podnebnih ukrepih SKP, ki od leta 2026 prinašajo strožje omejitve in natančnejša pravila izvajanja</w:t>
      </w:r>
      <w:r w:rsidR="00992CB7">
        <w:rPr>
          <w:sz w:val="28"/>
        </w:rPr>
        <w:t>.</w:t>
      </w:r>
    </w:p>
    <w:p w14:paraId="3CD9A080" w14:textId="4BD87DC0" w:rsidR="001A6740" w:rsidRPr="00995CD7" w:rsidRDefault="001A6740" w:rsidP="00995CD7">
      <w:pPr>
        <w:rPr>
          <w:sz w:val="24"/>
        </w:rPr>
      </w:pPr>
      <w:r w:rsidRPr="00995CD7">
        <w:rPr>
          <w:sz w:val="24"/>
        </w:rPr>
        <w:t xml:space="preserve">Spremembe </w:t>
      </w:r>
      <w:r w:rsidR="00BA57CD" w:rsidRPr="00995CD7">
        <w:rPr>
          <w:sz w:val="24"/>
        </w:rPr>
        <w:t xml:space="preserve">na področju okoljskih in podnebnih plačil v okviru Strateškega načrta skupne kmetijske politike 2023–2027 </w:t>
      </w:r>
      <w:r w:rsidRPr="00995CD7">
        <w:rPr>
          <w:sz w:val="24"/>
        </w:rPr>
        <w:t xml:space="preserve">se nanašajo na intervencije KOPOP, ekološko kmetovanje, ekološko čebelarjenje, habitatne tipe Natura 2000 ter lokalne pasme in sorte. Namen sprememb je bolj ciljno usmerjena poraba sredstev, večja usklajenost z </w:t>
      </w:r>
      <w:proofErr w:type="spellStart"/>
      <w:r w:rsidRPr="00995CD7">
        <w:rPr>
          <w:sz w:val="24"/>
        </w:rPr>
        <w:t>okoljskimi</w:t>
      </w:r>
      <w:proofErr w:type="spellEnd"/>
      <w:r w:rsidRPr="00995CD7">
        <w:rPr>
          <w:sz w:val="24"/>
        </w:rPr>
        <w:t xml:space="preserve"> cilji ter poenotenje nekaterih pravil izvajanja.</w:t>
      </w:r>
    </w:p>
    <w:p w14:paraId="03EF2DAA" w14:textId="77777777" w:rsidR="00C26E21" w:rsidRPr="00995CD7" w:rsidRDefault="00C26E21" w:rsidP="00995CD7">
      <w:pPr>
        <w:rPr>
          <w:b/>
          <w:sz w:val="28"/>
        </w:rPr>
      </w:pPr>
      <w:r w:rsidRPr="00995CD7">
        <w:rPr>
          <w:b/>
          <w:sz w:val="28"/>
        </w:rPr>
        <w:t>Povečanje površin, vključenih v obveznost</w:t>
      </w:r>
    </w:p>
    <w:p w14:paraId="09B77A19" w14:textId="21E05245" w:rsidR="00DD47ED" w:rsidRPr="00995CD7" w:rsidRDefault="00992CB7" w:rsidP="00995CD7">
      <w:pPr>
        <w:rPr>
          <w:sz w:val="24"/>
        </w:rPr>
      </w:pPr>
      <w:r>
        <w:rPr>
          <w:sz w:val="24"/>
        </w:rPr>
        <w:t>Med</w:t>
      </w:r>
      <w:r w:rsidR="00DD47ED" w:rsidRPr="00995CD7">
        <w:rPr>
          <w:sz w:val="24"/>
        </w:rPr>
        <w:t xml:space="preserve"> trajanj</w:t>
      </w:r>
      <w:r>
        <w:rPr>
          <w:sz w:val="24"/>
        </w:rPr>
        <w:t>em</w:t>
      </w:r>
      <w:r w:rsidR="00DD47ED" w:rsidRPr="00995CD7">
        <w:rPr>
          <w:sz w:val="24"/>
        </w:rPr>
        <w:t xml:space="preserve"> obveznosti intervencij KOPOP se lahko skupna velikost površin kmetijskega gospodarstva poveča. V takem primeru se obstoječa obveznost razširi na nove površine, pri čemer se upošteva preostali čas trajanja prvotne obveznosti. Upravičenec je ob tem upravičen do plačila za celotno površino, ki vključuje obstoječe in na novo vključene površine, obveznost pa se šteje </w:t>
      </w:r>
      <w:r>
        <w:rPr>
          <w:sz w:val="24"/>
        </w:rPr>
        <w:t>za</w:t>
      </w:r>
      <w:r w:rsidR="00DD47ED" w:rsidRPr="00995CD7">
        <w:rPr>
          <w:sz w:val="24"/>
        </w:rPr>
        <w:t xml:space="preserve"> neprekinjen</w:t>
      </w:r>
      <w:r>
        <w:rPr>
          <w:sz w:val="24"/>
        </w:rPr>
        <w:t>o</w:t>
      </w:r>
      <w:r w:rsidR="00DD47ED" w:rsidRPr="00995CD7">
        <w:rPr>
          <w:sz w:val="24"/>
        </w:rPr>
        <w:t xml:space="preserve"> že od prvega leta.</w:t>
      </w:r>
    </w:p>
    <w:p w14:paraId="5ED3D26B" w14:textId="3DF6CB6E" w:rsidR="00DD47ED" w:rsidRPr="00995CD7" w:rsidRDefault="00DD47ED" w:rsidP="00995CD7">
      <w:pPr>
        <w:rPr>
          <w:sz w:val="24"/>
        </w:rPr>
      </w:pPr>
      <w:r w:rsidRPr="00995CD7">
        <w:rPr>
          <w:sz w:val="24"/>
        </w:rPr>
        <w:t>Izjema velja za operacijo ITRV, pri kateri povečanje vključenih površin ni dovoljeno. Prav tako od 1.</w:t>
      </w:r>
      <w:r w:rsidR="00E71C3C" w:rsidRPr="00995CD7">
        <w:rPr>
          <w:sz w:val="24"/>
        </w:rPr>
        <w:t> </w:t>
      </w:r>
      <w:r w:rsidRPr="00995CD7">
        <w:rPr>
          <w:sz w:val="24"/>
        </w:rPr>
        <w:t>januarja</w:t>
      </w:r>
      <w:r w:rsidR="00E71C3C" w:rsidRPr="00995CD7">
        <w:rPr>
          <w:sz w:val="24"/>
        </w:rPr>
        <w:t> </w:t>
      </w:r>
      <w:r w:rsidRPr="00995CD7">
        <w:rPr>
          <w:sz w:val="24"/>
        </w:rPr>
        <w:t xml:space="preserve">2026 dalje ni mogoče povečevati površin pri operacijah VOD, KOL_1, VIN_HERB, VIN_INSK, PGS in SENENA glede na obseg obveznosti iz leta 2025. </w:t>
      </w:r>
      <w:r w:rsidR="00992CB7">
        <w:rPr>
          <w:sz w:val="24"/>
        </w:rPr>
        <w:t>Če</w:t>
      </w:r>
      <w:r w:rsidRPr="00995CD7">
        <w:rPr>
          <w:sz w:val="24"/>
        </w:rPr>
        <w:t xml:space="preserve"> je v letu 2026 prišlo do upravičenega zmanjšanja površin, je povečanje </w:t>
      </w:r>
      <w:r w:rsidR="00992CB7">
        <w:rPr>
          <w:sz w:val="24"/>
        </w:rPr>
        <w:t xml:space="preserve">le-teh </w:t>
      </w:r>
      <w:r w:rsidRPr="00995CD7">
        <w:rPr>
          <w:sz w:val="24"/>
        </w:rPr>
        <w:t>v letu 2027 sicer dovoljeno, vendar le do obsega obveznosti, določen</w:t>
      </w:r>
      <w:r w:rsidR="00992CB7">
        <w:rPr>
          <w:sz w:val="24"/>
        </w:rPr>
        <w:t>ih</w:t>
      </w:r>
      <w:r w:rsidRPr="00995CD7">
        <w:rPr>
          <w:sz w:val="24"/>
        </w:rPr>
        <w:t xml:space="preserve"> let</w:t>
      </w:r>
      <w:r w:rsidR="00992CB7">
        <w:rPr>
          <w:sz w:val="24"/>
        </w:rPr>
        <w:t>a</w:t>
      </w:r>
      <w:r w:rsidRPr="00995CD7">
        <w:rPr>
          <w:sz w:val="24"/>
        </w:rPr>
        <w:t xml:space="preserve"> 2025.</w:t>
      </w:r>
      <w:r w:rsidR="00C4346B" w:rsidRPr="00995CD7">
        <w:rPr>
          <w:sz w:val="24"/>
        </w:rPr>
        <w:t xml:space="preserve"> Pri operacijah VOD, KOL_1, PGS in SENENA je plačilo nižje za 30 % glede na izračun</w:t>
      </w:r>
      <w:r w:rsidR="00992CB7" w:rsidRPr="00992CB7">
        <w:rPr>
          <w:sz w:val="24"/>
        </w:rPr>
        <w:t xml:space="preserve"> </w:t>
      </w:r>
      <w:r w:rsidR="00992CB7" w:rsidRPr="00995CD7">
        <w:rPr>
          <w:sz w:val="24"/>
        </w:rPr>
        <w:t>model</w:t>
      </w:r>
      <w:r w:rsidR="00992CB7">
        <w:rPr>
          <w:sz w:val="24"/>
        </w:rPr>
        <w:t>a</w:t>
      </w:r>
      <w:r w:rsidR="00C4346B" w:rsidRPr="00995CD7">
        <w:rPr>
          <w:sz w:val="24"/>
        </w:rPr>
        <w:t>, pri operacijah VIN_HERB in VIN_INSK pa za 15 %.</w:t>
      </w:r>
    </w:p>
    <w:p w14:paraId="7F3C3BB1" w14:textId="77777777" w:rsidR="00DD47ED" w:rsidRPr="00995CD7" w:rsidRDefault="00DD47ED" w:rsidP="00995CD7">
      <w:pPr>
        <w:rPr>
          <w:sz w:val="24"/>
        </w:rPr>
      </w:pPr>
      <w:r w:rsidRPr="00995CD7">
        <w:rPr>
          <w:sz w:val="24"/>
        </w:rPr>
        <w:t>Pomembno je poudariti, da se prenos površin z obveznostjo na drugega nosilca KMG ne šteje kot povečanje površin pri navedenih operacijah. S tem je omogočen prenos obveznosti brez vpliva na dovoljeni obseg vključenih površin, hkrati pa se zagotavlja kontinuiteta izvajanja intervencij.</w:t>
      </w:r>
    </w:p>
    <w:p w14:paraId="44CAF9ED" w14:textId="77777777" w:rsidR="00E30FE9" w:rsidRPr="00995CD7" w:rsidRDefault="00E30FE9" w:rsidP="00995CD7">
      <w:pPr>
        <w:rPr>
          <w:b/>
          <w:sz w:val="28"/>
        </w:rPr>
      </w:pPr>
      <w:r w:rsidRPr="00995CD7">
        <w:rPr>
          <w:b/>
          <w:sz w:val="28"/>
        </w:rPr>
        <w:t>Analiza tal in gnojilni načrt</w:t>
      </w:r>
    </w:p>
    <w:p w14:paraId="39E2C00E" w14:textId="35B4C1D3" w:rsidR="00E30FE9" w:rsidRPr="00995CD7" w:rsidRDefault="00E30FE9" w:rsidP="00995CD7">
      <w:pPr>
        <w:rPr>
          <w:sz w:val="24"/>
        </w:rPr>
      </w:pPr>
      <w:r w:rsidRPr="00995CD7">
        <w:rPr>
          <w:sz w:val="24"/>
        </w:rPr>
        <w:t>Za GERK-e, vključene v intervenciji KOPOP_NV in KOPOP_BK, na katerih se uporabljajo mineralna gnojila, je obvezna izdelava analize tal in načrta</w:t>
      </w:r>
      <w:r w:rsidR="00992CB7" w:rsidRPr="00992CB7">
        <w:rPr>
          <w:sz w:val="24"/>
        </w:rPr>
        <w:t xml:space="preserve"> </w:t>
      </w:r>
      <w:r w:rsidR="00992CB7" w:rsidRPr="00995CD7">
        <w:rPr>
          <w:sz w:val="24"/>
        </w:rPr>
        <w:t>gnoj</w:t>
      </w:r>
      <w:r w:rsidR="00992CB7">
        <w:rPr>
          <w:sz w:val="24"/>
        </w:rPr>
        <w:t>enja</w:t>
      </w:r>
      <w:r w:rsidRPr="00995CD7">
        <w:rPr>
          <w:sz w:val="24"/>
        </w:rPr>
        <w:t xml:space="preserve">. Analiza tal mora zajemati pH, fosfor (P), kalij (K) in organsko snov, pri trajnem travinju </w:t>
      </w:r>
      <w:r w:rsidR="00992CB7">
        <w:rPr>
          <w:sz w:val="24"/>
        </w:rPr>
        <w:t xml:space="preserve">pa </w:t>
      </w:r>
      <w:r w:rsidRPr="00995CD7">
        <w:rPr>
          <w:sz w:val="24"/>
        </w:rPr>
        <w:t xml:space="preserve">analiza organske snovi ni potrebna. </w:t>
      </w:r>
      <w:r w:rsidR="00992CB7">
        <w:rPr>
          <w:sz w:val="24"/>
        </w:rPr>
        <w:t>N</w:t>
      </w:r>
      <w:r w:rsidRPr="00995CD7">
        <w:rPr>
          <w:sz w:val="24"/>
        </w:rPr>
        <w:t xml:space="preserve">ačrt </w:t>
      </w:r>
      <w:r w:rsidR="00992CB7">
        <w:rPr>
          <w:sz w:val="24"/>
        </w:rPr>
        <w:t>g</w:t>
      </w:r>
      <w:r w:rsidR="00992CB7" w:rsidRPr="00995CD7">
        <w:rPr>
          <w:sz w:val="24"/>
        </w:rPr>
        <w:t>noj</w:t>
      </w:r>
      <w:r w:rsidR="00992CB7">
        <w:rPr>
          <w:sz w:val="24"/>
        </w:rPr>
        <w:t>enja</w:t>
      </w:r>
      <w:r w:rsidR="00992CB7" w:rsidRPr="00995CD7">
        <w:rPr>
          <w:sz w:val="24"/>
        </w:rPr>
        <w:t xml:space="preserve"> </w:t>
      </w:r>
      <w:r w:rsidRPr="00995CD7">
        <w:rPr>
          <w:sz w:val="24"/>
        </w:rPr>
        <w:t xml:space="preserve">se izdela za obdobje petih let in temelji na analizi tal, </w:t>
      </w:r>
      <w:r w:rsidR="00992CB7">
        <w:rPr>
          <w:sz w:val="24"/>
        </w:rPr>
        <w:t>ta pa</w:t>
      </w:r>
      <w:r w:rsidRPr="00995CD7">
        <w:rPr>
          <w:sz w:val="24"/>
        </w:rPr>
        <w:t xml:space="preserve"> ne sme biti starejša od petih let.</w:t>
      </w:r>
    </w:p>
    <w:p w14:paraId="4AEEB373" w14:textId="3FF70DC2" w:rsidR="00E30FE9" w:rsidRPr="00995CD7" w:rsidRDefault="00E30FE9" w:rsidP="00995CD7">
      <w:pPr>
        <w:rPr>
          <w:sz w:val="24"/>
        </w:rPr>
      </w:pPr>
      <w:r w:rsidRPr="00995CD7">
        <w:rPr>
          <w:sz w:val="24"/>
        </w:rPr>
        <w:t>Če se uporabljajo izključno organska gnojila, analiza tal in načrt</w:t>
      </w:r>
      <w:r w:rsidR="00992CB7" w:rsidRPr="00995CD7">
        <w:rPr>
          <w:sz w:val="24"/>
        </w:rPr>
        <w:t xml:space="preserve"> gnoj</w:t>
      </w:r>
      <w:r w:rsidR="00992CB7">
        <w:rPr>
          <w:sz w:val="24"/>
        </w:rPr>
        <w:t>enja</w:t>
      </w:r>
      <w:r w:rsidRPr="00995CD7">
        <w:rPr>
          <w:sz w:val="24"/>
        </w:rPr>
        <w:t xml:space="preserve"> nista obvezna, vendar je treba voditi evidenco o uporabi gnojil. Prav tako sta analiza tal in gnojilni načrt izvzeta za določene operacije </w:t>
      </w:r>
      <w:r w:rsidR="00992CB7">
        <w:rPr>
          <w:sz w:val="24"/>
        </w:rPr>
        <w:t>in</w:t>
      </w:r>
      <w:r w:rsidRPr="00995CD7">
        <w:rPr>
          <w:sz w:val="24"/>
        </w:rPr>
        <w:t xml:space="preserve"> upravičence, </w:t>
      </w:r>
      <w:r w:rsidR="00992CB7">
        <w:rPr>
          <w:sz w:val="24"/>
        </w:rPr>
        <w:t xml:space="preserve">ki so </w:t>
      </w:r>
      <w:r w:rsidRPr="00995CD7">
        <w:rPr>
          <w:sz w:val="24"/>
        </w:rPr>
        <w:t>vključen</w:t>
      </w:r>
      <w:r w:rsidR="00992CB7">
        <w:rPr>
          <w:sz w:val="24"/>
        </w:rPr>
        <w:t>i</w:t>
      </w:r>
      <w:r w:rsidRPr="00995CD7">
        <w:rPr>
          <w:sz w:val="24"/>
        </w:rPr>
        <w:t xml:space="preserve"> izključno v te operacije. Upravičenec mora dokumentacijo hraniti na kmetijskem gospodarstvu, agencija pa izpolnjevanje zahtev preverja v okviru </w:t>
      </w:r>
      <w:r w:rsidR="009D45A0" w:rsidRPr="00995CD7">
        <w:rPr>
          <w:sz w:val="24"/>
        </w:rPr>
        <w:t>pregledov</w:t>
      </w:r>
      <w:r w:rsidRPr="00995CD7">
        <w:rPr>
          <w:sz w:val="24"/>
        </w:rPr>
        <w:t xml:space="preserve"> na kraju samem.</w:t>
      </w:r>
    </w:p>
    <w:p w14:paraId="42671EDD" w14:textId="77777777" w:rsidR="00DB5DF6" w:rsidRPr="00995CD7" w:rsidRDefault="00DB5DF6" w:rsidP="00995CD7">
      <w:pPr>
        <w:rPr>
          <w:b/>
          <w:sz w:val="28"/>
        </w:rPr>
      </w:pPr>
      <w:r w:rsidRPr="00995CD7">
        <w:rPr>
          <w:b/>
          <w:sz w:val="28"/>
        </w:rPr>
        <w:lastRenderedPageBreak/>
        <w:t xml:space="preserve">Popis suhih travišč in točkovanje </w:t>
      </w:r>
    </w:p>
    <w:p w14:paraId="520A2A04" w14:textId="77777777" w:rsidR="00992CB7" w:rsidRDefault="00DB5DF6" w:rsidP="00995CD7">
      <w:pPr>
        <w:rPr>
          <w:sz w:val="24"/>
        </w:rPr>
      </w:pPr>
      <w:r w:rsidRPr="00995CD7">
        <w:rPr>
          <w:sz w:val="24"/>
        </w:rPr>
        <w:t xml:space="preserve">Operacija SUHA_TRAV prinaša natančneje opredeljen in enoten postopek spremljanja </w:t>
      </w:r>
      <w:r w:rsidR="00992CB7">
        <w:rPr>
          <w:sz w:val="24"/>
        </w:rPr>
        <w:t>in</w:t>
      </w:r>
      <w:r w:rsidRPr="00995CD7">
        <w:rPr>
          <w:sz w:val="24"/>
        </w:rPr>
        <w:t xml:space="preserve"> ocenjevanja stanja suhih travišč. Ob vstopu v operacijo se na travnikih, ki ležijo na območjih evidence suhih travišč in za katere so upravičenci izrazili interes, izvede začetni strokovni popis, ki ga opravi </w:t>
      </w:r>
      <w:r w:rsidR="009D45A0" w:rsidRPr="00995CD7">
        <w:rPr>
          <w:sz w:val="24"/>
        </w:rPr>
        <w:t>izbrani</w:t>
      </w:r>
      <w:r w:rsidRPr="00995CD7">
        <w:rPr>
          <w:sz w:val="24"/>
        </w:rPr>
        <w:t xml:space="preserve"> izvajalec. Popis temelji na oceni stanja habitatnega tipa </w:t>
      </w:r>
      <w:proofErr w:type="spellStart"/>
      <w:r w:rsidRPr="00995CD7">
        <w:rPr>
          <w:sz w:val="24"/>
        </w:rPr>
        <w:t>polnaravnih</w:t>
      </w:r>
      <w:proofErr w:type="spellEnd"/>
      <w:r w:rsidRPr="00995CD7">
        <w:rPr>
          <w:sz w:val="24"/>
        </w:rPr>
        <w:t xml:space="preserve"> suhih travišč, prisotnosti značilnih rastlinskih vrst in orhidej. Na </w:t>
      </w:r>
      <w:r w:rsidR="00992CB7">
        <w:rPr>
          <w:sz w:val="24"/>
        </w:rPr>
        <w:t>osnovi</w:t>
      </w:r>
      <w:r w:rsidRPr="00995CD7">
        <w:rPr>
          <w:sz w:val="24"/>
        </w:rPr>
        <w:t xml:space="preserve"> teh kriterijev se določi število točk, ki predstavlja</w:t>
      </w:r>
      <w:r w:rsidR="00992CB7">
        <w:rPr>
          <w:sz w:val="24"/>
        </w:rPr>
        <w:t>jo</w:t>
      </w:r>
      <w:r w:rsidRPr="00995CD7">
        <w:rPr>
          <w:sz w:val="24"/>
        </w:rPr>
        <w:t xml:space="preserve"> osnovo za izračun plačila v letu vstopa v operacijo. Za nadaljnja leta trajanja obveznosti je za vsak travnik določena linija popisa znotraj GERK oziroma poljine. Upravičenec mora v drugem do petem letu obveznosti vsako leto v času cvetenja značilnih rastlin spremljati stanje travnika in z uporabo mobilne aplikacije »Moj travnik« evidentirati prisotnost pozitivnih značilnic </w:t>
      </w:r>
      <w:r w:rsidR="00992CB7">
        <w:rPr>
          <w:sz w:val="24"/>
        </w:rPr>
        <w:t>in</w:t>
      </w:r>
      <w:r w:rsidRPr="00995CD7">
        <w:rPr>
          <w:sz w:val="24"/>
        </w:rPr>
        <w:t xml:space="preserve"> orhidej. Zbrani podatki se uporabijo za izračun letnega števila točk, ki so </w:t>
      </w:r>
      <w:r w:rsidR="00992CB7">
        <w:rPr>
          <w:sz w:val="24"/>
        </w:rPr>
        <w:t>osnova</w:t>
      </w:r>
      <w:r w:rsidRPr="00995CD7">
        <w:rPr>
          <w:sz w:val="24"/>
        </w:rPr>
        <w:t xml:space="preserve"> za višino plačila. V zadnjem letu obveznosti se ponovno izvede strokovni popis, ki določi končno oceno stanja travišča. Upravičenci, ki imajo sklenjeno petletno obveznost za izvajanje operacije HAB, lahko v tekočem letu trajanja obveznosti na območjih, vključenih v evidence SUHIT_1, SUHIT_2 in SUHIT_3, to obveznost nadomestijo z vključitvijo v operacijo SUHA_TRAV. </w:t>
      </w:r>
      <w:r w:rsidR="00992CB7">
        <w:rPr>
          <w:sz w:val="24"/>
        </w:rPr>
        <w:t>Ob</w:t>
      </w:r>
      <w:r w:rsidRPr="00995CD7">
        <w:rPr>
          <w:sz w:val="24"/>
        </w:rPr>
        <w:t xml:space="preserve"> takšn</w:t>
      </w:r>
      <w:r w:rsidR="00992CB7">
        <w:rPr>
          <w:sz w:val="24"/>
        </w:rPr>
        <w:t>i</w:t>
      </w:r>
      <w:r w:rsidRPr="00995CD7">
        <w:rPr>
          <w:sz w:val="24"/>
        </w:rPr>
        <w:t xml:space="preserve"> nadomestitv</w:t>
      </w:r>
      <w:r w:rsidR="00992CB7">
        <w:rPr>
          <w:sz w:val="24"/>
        </w:rPr>
        <w:t>i</w:t>
      </w:r>
      <w:r w:rsidRPr="00995CD7">
        <w:rPr>
          <w:sz w:val="24"/>
        </w:rPr>
        <w:t xml:space="preserve"> se obveznost izvajanja operacije HAB zaključi, upravičenec pa v preostalem obdobju prvotne obveznosti nadaljuje izvajanje operacije SUHA_TRAV pod pogoji, ki veljajo za to operacijo. </w:t>
      </w:r>
    </w:p>
    <w:p w14:paraId="0917E732" w14:textId="40AAFE60" w:rsidR="00F31874" w:rsidRPr="00995CD7" w:rsidRDefault="00DB5DF6" w:rsidP="00995CD7">
      <w:pPr>
        <w:rPr>
          <w:sz w:val="24"/>
        </w:rPr>
      </w:pPr>
      <w:r w:rsidRPr="00995CD7">
        <w:rPr>
          <w:sz w:val="24"/>
        </w:rPr>
        <w:t xml:space="preserve">Pomembna novost sta tudi dve novi prilogi, ki zagotavljata strokovno </w:t>
      </w:r>
      <w:r w:rsidR="00992CB7">
        <w:rPr>
          <w:sz w:val="24"/>
        </w:rPr>
        <w:t>osnovo</w:t>
      </w:r>
      <w:r w:rsidRPr="00995CD7">
        <w:rPr>
          <w:sz w:val="24"/>
        </w:rPr>
        <w:t xml:space="preserve"> za ocenjevanje. </w:t>
      </w:r>
      <w:r w:rsidRPr="00992CB7">
        <w:rPr>
          <w:b/>
          <w:bCs/>
          <w:sz w:val="24"/>
        </w:rPr>
        <w:t>Priloga 7</w:t>
      </w:r>
      <w:r w:rsidRPr="00995CD7">
        <w:rPr>
          <w:sz w:val="24"/>
        </w:rPr>
        <w:t xml:space="preserve"> določa kriterije za oceno stanja ohranjenosti habitatnega tipa 6210 (*) – </w:t>
      </w:r>
      <w:proofErr w:type="spellStart"/>
      <w:r w:rsidRPr="00995CD7">
        <w:rPr>
          <w:sz w:val="24"/>
        </w:rPr>
        <w:t>polnaravna</w:t>
      </w:r>
      <w:proofErr w:type="spellEnd"/>
      <w:r w:rsidRPr="00995CD7">
        <w:rPr>
          <w:sz w:val="24"/>
        </w:rPr>
        <w:t xml:space="preserve"> suha travišča, </w:t>
      </w:r>
      <w:r w:rsidRPr="00992CB7">
        <w:rPr>
          <w:b/>
          <w:bCs/>
          <w:sz w:val="24"/>
        </w:rPr>
        <w:t>Priloga 8</w:t>
      </w:r>
      <w:r w:rsidRPr="00995CD7">
        <w:rPr>
          <w:sz w:val="24"/>
        </w:rPr>
        <w:t xml:space="preserve"> pa vsebuje seznam pozitivnih in negativnih značilnic z opredeljeno optimalno </w:t>
      </w:r>
      <w:proofErr w:type="spellStart"/>
      <w:r w:rsidRPr="00995CD7">
        <w:rPr>
          <w:sz w:val="24"/>
        </w:rPr>
        <w:t>pokrovnostjo</w:t>
      </w:r>
      <w:proofErr w:type="spellEnd"/>
      <w:r w:rsidRPr="00995CD7">
        <w:rPr>
          <w:sz w:val="24"/>
        </w:rPr>
        <w:t xml:space="preserve">. </w:t>
      </w:r>
      <w:r w:rsidR="00992CB7">
        <w:rPr>
          <w:sz w:val="24"/>
        </w:rPr>
        <w:t>Po</w:t>
      </w:r>
      <w:r w:rsidRPr="00995CD7">
        <w:rPr>
          <w:sz w:val="24"/>
        </w:rPr>
        <w:t xml:space="preserve"> teh meril</w:t>
      </w:r>
      <w:r w:rsidR="00992CB7">
        <w:rPr>
          <w:sz w:val="24"/>
        </w:rPr>
        <w:t>ih</w:t>
      </w:r>
      <w:r w:rsidRPr="00995CD7">
        <w:rPr>
          <w:sz w:val="24"/>
        </w:rPr>
        <w:t xml:space="preserve"> se poenoti ocenjevanje in določa višina plačila. </w:t>
      </w:r>
      <w:r w:rsidR="00992CB7">
        <w:rPr>
          <w:sz w:val="24"/>
        </w:rPr>
        <w:t>Pri</w:t>
      </w:r>
      <w:r w:rsidRPr="00995CD7">
        <w:rPr>
          <w:sz w:val="24"/>
        </w:rPr>
        <w:t xml:space="preserve"> usposabljanj</w:t>
      </w:r>
      <w:r w:rsidR="00992CB7">
        <w:rPr>
          <w:sz w:val="24"/>
        </w:rPr>
        <w:t>u</w:t>
      </w:r>
      <w:r w:rsidRPr="00995CD7">
        <w:rPr>
          <w:sz w:val="24"/>
        </w:rPr>
        <w:t xml:space="preserve"> se za upravičence, vključene le v operacijo SUHA_TRAV, v zahtevanih 15 ur štejejo tudi usposabljanja v okviru projekta EIP za suha travišča ter promocijskih aktivnosti ministrstva za naravovarstvene operacije, manjkajoče ure pa se lahko </w:t>
      </w:r>
      <w:r w:rsidR="009D45A0" w:rsidRPr="00995CD7">
        <w:rPr>
          <w:sz w:val="24"/>
        </w:rPr>
        <w:t>zagotovijo</w:t>
      </w:r>
      <w:r w:rsidRPr="00995CD7">
        <w:rPr>
          <w:sz w:val="24"/>
        </w:rPr>
        <w:t xml:space="preserve"> z obiski kmetijske svetovalne službe</w:t>
      </w:r>
      <w:r w:rsidR="009D45A0" w:rsidRPr="00995CD7">
        <w:rPr>
          <w:sz w:val="24"/>
        </w:rPr>
        <w:t>, ki nudi podporo pri izvajanju te operacije</w:t>
      </w:r>
      <w:r w:rsidRPr="00995CD7">
        <w:rPr>
          <w:sz w:val="24"/>
        </w:rPr>
        <w:t xml:space="preserve">. Upravičenci, </w:t>
      </w:r>
      <w:r w:rsidR="009D45A0" w:rsidRPr="00995CD7">
        <w:rPr>
          <w:sz w:val="24"/>
        </w:rPr>
        <w:t xml:space="preserve">ki so hkrati </w:t>
      </w:r>
      <w:r w:rsidRPr="00995CD7">
        <w:rPr>
          <w:sz w:val="24"/>
        </w:rPr>
        <w:t xml:space="preserve">vključeni tudi v druge operacije </w:t>
      </w:r>
      <w:r w:rsidR="009D45A0" w:rsidRPr="00995CD7">
        <w:rPr>
          <w:sz w:val="24"/>
        </w:rPr>
        <w:t xml:space="preserve">intervencij </w:t>
      </w:r>
      <w:r w:rsidRPr="00995CD7">
        <w:rPr>
          <w:sz w:val="24"/>
        </w:rPr>
        <w:t>KOPOP ali LOPS, lahko usposabljanje opravijo v okviru teh intervencij. Upravičenci, ki so vključeni izključno v operacijo SUHA_TRAV, morajo voditi evidenco uporabe organskih in mineralnih gnojil ter evidenco uporabe fitofarmacevtskih sredstev na predpisanih obrazcih.</w:t>
      </w:r>
    </w:p>
    <w:p w14:paraId="750D13A5" w14:textId="77777777" w:rsidR="001A6740" w:rsidRPr="00995CD7" w:rsidRDefault="001A6740" w:rsidP="00995CD7">
      <w:pPr>
        <w:rPr>
          <w:b/>
          <w:sz w:val="28"/>
        </w:rPr>
      </w:pPr>
      <w:r w:rsidRPr="00995CD7">
        <w:rPr>
          <w:b/>
          <w:sz w:val="28"/>
        </w:rPr>
        <w:t>Ekološko kmetovanje in čebelarjenje</w:t>
      </w:r>
    </w:p>
    <w:p w14:paraId="11B7A0C6" w14:textId="0A0B5B9E" w:rsidR="001A6740" w:rsidRPr="00995CD7" w:rsidRDefault="00992CB7" w:rsidP="00995CD7">
      <w:pPr>
        <w:rPr>
          <w:sz w:val="24"/>
        </w:rPr>
      </w:pPr>
      <w:r>
        <w:rPr>
          <w:sz w:val="24"/>
        </w:rPr>
        <w:t>Pri</w:t>
      </w:r>
      <w:r w:rsidR="001A6740" w:rsidRPr="00995CD7">
        <w:rPr>
          <w:sz w:val="24"/>
        </w:rPr>
        <w:t xml:space="preserve"> ekološke</w:t>
      </w:r>
      <w:r>
        <w:rPr>
          <w:sz w:val="24"/>
        </w:rPr>
        <w:t>m</w:t>
      </w:r>
      <w:r w:rsidR="001A6740" w:rsidRPr="00995CD7">
        <w:rPr>
          <w:sz w:val="24"/>
        </w:rPr>
        <w:t xml:space="preserve"> kmetovanj</w:t>
      </w:r>
      <w:r>
        <w:rPr>
          <w:sz w:val="24"/>
        </w:rPr>
        <w:t>u</w:t>
      </w:r>
      <w:r w:rsidR="001A6740" w:rsidRPr="00995CD7">
        <w:rPr>
          <w:sz w:val="24"/>
        </w:rPr>
        <w:t xml:space="preserve"> je pomembna dopolnitev seznama upravičenih kmetijskih rastlin – mednje se uvršča tudi pistacija. Pri ekološkem čebelarjenju pa se spreminja rok za poročanje o številu čebeljih družin: organizacije za kontrolo in certificiranje bodo podatke po novem posredovale do 1.</w:t>
      </w:r>
      <w:r w:rsidR="009D45A0" w:rsidRPr="00995CD7">
        <w:rPr>
          <w:sz w:val="24"/>
        </w:rPr>
        <w:t> </w:t>
      </w:r>
      <w:r w:rsidR="001A6740" w:rsidRPr="00995CD7">
        <w:rPr>
          <w:sz w:val="24"/>
        </w:rPr>
        <w:t>decembra tekočega leta.</w:t>
      </w:r>
      <w:r w:rsidR="0030751C" w:rsidRPr="00995CD7">
        <w:rPr>
          <w:sz w:val="24"/>
        </w:rPr>
        <w:t xml:space="preserve"> </w:t>
      </w:r>
      <w:r w:rsidR="001A6740" w:rsidRPr="00995CD7">
        <w:rPr>
          <w:sz w:val="24"/>
        </w:rPr>
        <w:t xml:space="preserve">Spremenjena so tudi pravila </w:t>
      </w:r>
      <w:r w:rsidR="00C32F41">
        <w:rPr>
          <w:sz w:val="24"/>
        </w:rPr>
        <w:t>o</w:t>
      </w:r>
      <w:r w:rsidR="001A6740" w:rsidRPr="00995CD7">
        <w:rPr>
          <w:sz w:val="24"/>
        </w:rPr>
        <w:t xml:space="preserve"> odstopanj</w:t>
      </w:r>
      <w:r w:rsidR="00C32F41">
        <w:rPr>
          <w:sz w:val="24"/>
        </w:rPr>
        <w:t>u</w:t>
      </w:r>
      <w:r w:rsidR="001A6740" w:rsidRPr="00995CD7">
        <w:rPr>
          <w:sz w:val="24"/>
        </w:rPr>
        <w:t xml:space="preserve"> pri številu prijavljenih čebeljih družin. Prag za sankcije je postavljen višje, kar pomeni nekoliko več tolerance do nihanj, hkrati pa se ohranja nadzor nad morebitnimi zlorabami sistema.</w:t>
      </w:r>
    </w:p>
    <w:p w14:paraId="4C9F7AE9" w14:textId="77777777" w:rsidR="001A6740" w:rsidRPr="00995CD7" w:rsidRDefault="001A6740" w:rsidP="00995CD7">
      <w:pPr>
        <w:rPr>
          <w:b/>
          <w:sz w:val="28"/>
        </w:rPr>
      </w:pPr>
      <w:r w:rsidRPr="00995CD7">
        <w:rPr>
          <w:b/>
          <w:sz w:val="28"/>
        </w:rPr>
        <w:t>Lokalne pasme in sorte</w:t>
      </w:r>
    </w:p>
    <w:p w14:paraId="1D3B1237" w14:textId="35FF3805" w:rsidR="001A6740" w:rsidRPr="00995CD7" w:rsidRDefault="001A6740" w:rsidP="00995CD7">
      <w:pPr>
        <w:rPr>
          <w:sz w:val="24"/>
        </w:rPr>
      </w:pPr>
      <w:r w:rsidRPr="00995CD7">
        <w:rPr>
          <w:sz w:val="24"/>
        </w:rPr>
        <w:lastRenderedPageBreak/>
        <w:t>Pri intervenciji lokalnih sort (SOR) se nadaljuje postopno zniževanje plačil. V letih 2026 in 2027 bo plačilo znašalo 30</w:t>
      </w:r>
      <w:r w:rsidR="009D45A0" w:rsidRPr="00995CD7">
        <w:rPr>
          <w:sz w:val="24"/>
        </w:rPr>
        <w:t> </w:t>
      </w:r>
      <w:r w:rsidRPr="00995CD7">
        <w:rPr>
          <w:sz w:val="24"/>
        </w:rPr>
        <w:t xml:space="preserve">% manj </w:t>
      </w:r>
      <w:r w:rsidR="00C4346B" w:rsidRPr="00995CD7">
        <w:rPr>
          <w:sz w:val="24"/>
        </w:rPr>
        <w:t>glede na</w:t>
      </w:r>
      <w:r w:rsidRPr="00995CD7">
        <w:rPr>
          <w:sz w:val="24"/>
        </w:rPr>
        <w:t xml:space="preserve"> modelni izračun. Prav tako ni več mogoče povečevati površin glede na obseg iz leta 2025</w:t>
      </w:r>
      <w:r w:rsidR="0030751C" w:rsidRPr="00995CD7">
        <w:rPr>
          <w:sz w:val="24"/>
        </w:rPr>
        <w:t xml:space="preserve">. </w:t>
      </w:r>
      <w:r w:rsidRPr="00995CD7">
        <w:rPr>
          <w:sz w:val="24"/>
        </w:rPr>
        <w:t>Seznam lokalnih sort za leto 2026 ostaja nespremenjen, vendar dopolnitev seznama do konca programskega obdobja ni predvidena. Sorte, ki ne bodo več izpolnjevale pogojev, pa se lahko s seznama tudi črtajo.</w:t>
      </w:r>
    </w:p>
    <w:p w14:paraId="7E368C16" w14:textId="77777777" w:rsidR="0081484C" w:rsidRPr="00995CD7" w:rsidRDefault="0081484C" w:rsidP="00995CD7">
      <w:pPr>
        <w:rPr>
          <w:b/>
          <w:sz w:val="28"/>
        </w:rPr>
      </w:pPr>
      <w:r w:rsidRPr="00995CD7">
        <w:rPr>
          <w:b/>
          <w:sz w:val="28"/>
        </w:rPr>
        <w:t xml:space="preserve">Spremembe prilog </w:t>
      </w:r>
    </w:p>
    <w:p w14:paraId="0DA92C78" w14:textId="29A35E80" w:rsidR="00A16F1B" w:rsidRPr="00995CD7" w:rsidRDefault="0030751C" w:rsidP="00995CD7">
      <w:pPr>
        <w:rPr>
          <w:sz w:val="24"/>
        </w:rPr>
      </w:pPr>
      <w:r w:rsidRPr="00995CD7">
        <w:rPr>
          <w:sz w:val="24"/>
        </w:rPr>
        <w:t xml:space="preserve">Spremembe prilog prinašajo natančnejše zahteve za izvajanje operacij, jasnejša pravila kombiniranja ter podrobneje opredeljene kršitve in sankcije. V Prilogi 2 so dopolnjeni roki košnje, obveznosti paše, vzpostavljanje nepokošenih pasov ter pogoji za setev in zeleno odejo. Priloga 4 poenoti izračun obtežbe živali, Priloga 5 pa omogoča kombinacijo operacij SENENA in SUHA_TRAV na isti površini. Priloga 6 določa znižanja ali zavrnitve plačil, kadar upravičenci ne izpolnjujejo obveznosti. Sankcije so povezane predvsem z neopravljenimi usposabljanji, neustrezno zeleno odejo, kršitvami kolobarja ter </w:t>
      </w:r>
      <w:proofErr w:type="spellStart"/>
      <w:r w:rsidRPr="00995CD7">
        <w:rPr>
          <w:sz w:val="24"/>
        </w:rPr>
        <w:t>neizvedbo</w:t>
      </w:r>
      <w:proofErr w:type="spellEnd"/>
      <w:r w:rsidRPr="00995CD7">
        <w:rPr>
          <w:sz w:val="24"/>
        </w:rPr>
        <w:t xml:space="preserve"> popisov</w:t>
      </w:r>
      <w:r w:rsidR="009D45A0" w:rsidRPr="00995CD7">
        <w:rPr>
          <w:sz w:val="24"/>
        </w:rPr>
        <w:t xml:space="preserve"> pri operaciji SUHA_TRAV</w:t>
      </w:r>
      <w:r w:rsidRPr="00995CD7">
        <w:rPr>
          <w:sz w:val="24"/>
        </w:rPr>
        <w:t>.</w:t>
      </w:r>
    </w:p>
    <w:p w14:paraId="7B6D1D2D" w14:textId="24054EE5" w:rsidR="00784E72" w:rsidRPr="00995CD7" w:rsidRDefault="00784E72" w:rsidP="00995CD7">
      <w:pPr>
        <w:rPr>
          <w:sz w:val="24"/>
        </w:rPr>
      </w:pPr>
    </w:p>
    <w:p w14:paraId="7AB0714B" w14:textId="2F5439CF" w:rsidR="00784E72" w:rsidRDefault="00784E72" w:rsidP="00995CD7">
      <w:pPr>
        <w:rPr>
          <w:sz w:val="24"/>
        </w:rPr>
      </w:pPr>
      <w:r w:rsidRPr="00995CD7">
        <w:rPr>
          <w:sz w:val="24"/>
        </w:rPr>
        <w:t>Mojca Bozovičar, KGZS</w:t>
      </w:r>
    </w:p>
    <w:sectPr w:rsidR="00784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40"/>
    <w:rsid w:val="00141F90"/>
    <w:rsid w:val="001A6740"/>
    <w:rsid w:val="002E37DC"/>
    <w:rsid w:val="0030751C"/>
    <w:rsid w:val="0033550D"/>
    <w:rsid w:val="00410686"/>
    <w:rsid w:val="00503492"/>
    <w:rsid w:val="0056513E"/>
    <w:rsid w:val="005C0343"/>
    <w:rsid w:val="00784E72"/>
    <w:rsid w:val="0081484C"/>
    <w:rsid w:val="0082605B"/>
    <w:rsid w:val="00841CBB"/>
    <w:rsid w:val="00846CF1"/>
    <w:rsid w:val="008E349C"/>
    <w:rsid w:val="00992CB7"/>
    <w:rsid w:val="00995CD7"/>
    <w:rsid w:val="009D45A0"/>
    <w:rsid w:val="00A16F1B"/>
    <w:rsid w:val="00A53A69"/>
    <w:rsid w:val="00A57C33"/>
    <w:rsid w:val="00AE43BD"/>
    <w:rsid w:val="00AF0B5A"/>
    <w:rsid w:val="00B3703D"/>
    <w:rsid w:val="00B4218F"/>
    <w:rsid w:val="00BA57CD"/>
    <w:rsid w:val="00BB7374"/>
    <w:rsid w:val="00C13BCE"/>
    <w:rsid w:val="00C26E21"/>
    <w:rsid w:val="00C32F41"/>
    <w:rsid w:val="00C4346B"/>
    <w:rsid w:val="00CC6D48"/>
    <w:rsid w:val="00DB5DF6"/>
    <w:rsid w:val="00DD47ED"/>
    <w:rsid w:val="00E30FE9"/>
    <w:rsid w:val="00E71C3C"/>
    <w:rsid w:val="00F31874"/>
    <w:rsid w:val="00FA47E1"/>
    <w:rsid w:val="00FA6E0C"/>
    <w:rsid w:val="00FE6A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F022"/>
  <w15:chartTrackingRefBased/>
  <w15:docId w15:val="{36C72DC9-9F6E-408A-9C61-085C2268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3">
    <w:name w:val="heading 3"/>
    <w:basedOn w:val="Navaden"/>
    <w:link w:val="Naslov3Znak"/>
    <w:uiPriority w:val="9"/>
    <w:qFormat/>
    <w:rsid w:val="00E30FE9"/>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E30FE9"/>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E30FE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30FE9"/>
    <w:rPr>
      <w:b/>
      <w:bCs/>
    </w:rPr>
  </w:style>
  <w:style w:type="character" w:styleId="Poudarek">
    <w:name w:val="Emphasis"/>
    <w:basedOn w:val="Privzetapisavaodstavka"/>
    <w:uiPriority w:val="20"/>
    <w:qFormat/>
    <w:rsid w:val="00B3703D"/>
    <w:rPr>
      <w:i/>
      <w:iCs/>
    </w:rPr>
  </w:style>
  <w:style w:type="paragraph" w:styleId="Revizija">
    <w:name w:val="Revision"/>
    <w:hidden/>
    <w:uiPriority w:val="99"/>
    <w:semiHidden/>
    <w:rsid w:val="009D4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24357">
      <w:bodyDiv w:val="1"/>
      <w:marLeft w:val="0"/>
      <w:marRight w:val="0"/>
      <w:marTop w:val="0"/>
      <w:marBottom w:val="0"/>
      <w:divBdr>
        <w:top w:val="none" w:sz="0" w:space="0" w:color="auto"/>
        <w:left w:val="none" w:sz="0" w:space="0" w:color="auto"/>
        <w:bottom w:val="none" w:sz="0" w:space="0" w:color="auto"/>
        <w:right w:val="none" w:sz="0" w:space="0" w:color="auto"/>
      </w:divBdr>
    </w:div>
    <w:div w:id="378365577">
      <w:bodyDiv w:val="1"/>
      <w:marLeft w:val="0"/>
      <w:marRight w:val="0"/>
      <w:marTop w:val="0"/>
      <w:marBottom w:val="0"/>
      <w:divBdr>
        <w:top w:val="none" w:sz="0" w:space="0" w:color="auto"/>
        <w:left w:val="none" w:sz="0" w:space="0" w:color="auto"/>
        <w:bottom w:val="none" w:sz="0" w:space="0" w:color="auto"/>
        <w:right w:val="none" w:sz="0" w:space="0" w:color="auto"/>
      </w:divBdr>
    </w:div>
    <w:div w:id="396902198">
      <w:bodyDiv w:val="1"/>
      <w:marLeft w:val="0"/>
      <w:marRight w:val="0"/>
      <w:marTop w:val="0"/>
      <w:marBottom w:val="0"/>
      <w:divBdr>
        <w:top w:val="none" w:sz="0" w:space="0" w:color="auto"/>
        <w:left w:val="none" w:sz="0" w:space="0" w:color="auto"/>
        <w:bottom w:val="none" w:sz="0" w:space="0" w:color="auto"/>
        <w:right w:val="none" w:sz="0" w:space="0" w:color="auto"/>
      </w:divBdr>
    </w:div>
    <w:div w:id="675572654">
      <w:bodyDiv w:val="1"/>
      <w:marLeft w:val="0"/>
      <w:marRight w:val="0"/>
      <w:marTop w:val="0"/>
      <w:marBottom w:val="0"/>
      <w:divBdr>
        <w:top w:val="none" w:sz="0" w:space="0" w:color="auto"/>
        <w:left w:val="none" w:sz="0" w:space="0" w:color="auto"/>
        <w:bottom w:val="none" w:sz="0" w:space="0" w:color="auto"/>
        <w:right w:val="none" w:sz="0" w:space="0" w:color="auto"/>
      </w:divBdr>
    </w:div>
    <w:div w:id="843016320">
      <w:bodyDiv w:val="1"/>
      <w:marLeft w:val="0"/>
      <w:marRight w:val="0"/>
      <w:marTop w:val="0"/>
      <w:marBottom w:val="0"/>
      <w:divBdr>
        <w:top w:val="none" w:sz="0" w:space="0" w:color="auto"/>
        <w:left w:val="none" w:sz="0" w:space="0" w:color="auto"/>
        <w:bottom w:val="none" w:sz="0" w:space="0" w:color="auto"/>
        <w:right w:val="none" w:sz="0" w:space="0" w:color="auto"/>
      </w:divBdr>
    </w:div>
    <w:div w:id="1204631320">
      <w:bodyDiv w:val="1"/>
      <w:marLeft w:val="0"/>
      <w:marRight w:val="0"/>
      <w:marTop w:val="0"/>
      <w:marBottom w:val="0"/>
      <w:divBdr>
        <w:top w:val="none" w:sz="0" w:space="0" w:color="auto"/>
        <w:left w:val="none" w:sz="0" w:space="0" w:color="auto"/>
        <w:bottom w:val="none" w:sz="0" w:space="0" w:color="auto"/>
        <w:right w:val="none" w:sz="0" w:space="0" w:color="auto"/>
      </w:divBdr>
    </w:div>
    <w:div w:id="1323315741">
      <w:bodyDiv w:val="1"/>
      <w:marLeft w:val="0"/>
      <w:marRight w:val="0"/>
      <w:marTop w:val="0"/>
      <w:marBottom w:val="0"/>
      <w:divBdr>
        <w:top w:val="none" w:sz="0" w:space="0" w:color="auto"/>
        <w:left w:val="none" w:sz="0" w:space="0" w:color="auto"/>
        <w:bottom w:val="none" w:sz="0" w:space="0" w:color="auto"/>
        <w:right w:val="none" w:sz="0" w:space="0" w:color="auto"/>
      </w:divBdr>
    </w:div>
    <w:div w:id="1534460819">
      <w:bodyDiv w:val="1"/>
      <w:marLeft w:val="0"/>
      <w:marRight w:val="0"/>
      <w:marTop w:val="0"/>
      <w:marBottom w:val="0"/>
      <w:divBdr>
        <w:top w:val="none" w:sz="0" w:space="0" w:color="auto"/>
        <w:left w:val="none" w:sz="0" w:space="0" w:color="auto"/>
        <w:bottom w:val="none" w:sz="0" w:space="0" w:color="auto"/>
        <w:right w:val="none" w:sz="0" w:space="0" w:color="auto"/>
      </w:divBdr>
    </w:div>
    <w:div w:id="2069839058">
      <w:bodyDiv w:val="1"/>
      <w:marLeft w:val="0"/>
      <w:marRight w:val="0"/>
      <w:marTop w:val="0"/>
      <w:marBottom w:val="0"/>
      <w:divBdr>
        <w:top w:val="none" w:sz="0" w:space="0" w:color="auto"/>
        <w:left w:val="none" w:sz="0" w:space="0" w:color="auto"/>
        <w:bottom w:val="none" w:sz="0" w:space="0" w:color="auto"/>
        <w:right w:val="none" w:sz="0" w:space="0" w:color="auto"/>
      </w:divBdr>
      <w:divsChild>
        <w:div w:id="837892487">
          <w:marLeft w:val="0"/>
          <w:marRight w:val="0"/>
          <w:marTop w:val="0"/>
          <w:marBottom w:val="0"/>
          <w:divBdr>
            <w:top w:val="none" w:sz="0" w:space="0" w:color="auto"/>
            <w:left w:val="none" w:sz="0" w:space="0" w:color="auto"/>
            <w:bottom w:val="none" w:sz="0" w:space="0" w:color="auto"/>
            <w:right w:val="none" w:sz="0" w:space="0" w:color="auto"/>
          </w:divBdr>
          <w:divsChild>
            <w:div w:id="1130779418">
              <w:marLeft w:val="0"/>
              <w:marRight w:val="0"/>
              <w:marTop w:val="0"/>
              <w:marBottom w:val="0"/>
              <w:divBdr>
                <w:top w:val="none" w:sz="0" w:space="0" w:color="auto"/>
                <w:left w:val="none" w:sz="0" w:space="0" w:color="auto"/>
                <w:bottom w:val="none" w:sz="0" w:space="0" w:color="auto"/>
                <w:right w:val="none" w:sz="0" w:space="0" w:color="auto"/>
              </w:divBdr>
              <w:divsChild>
                <w:div w:id="106049688">
                  <w:marLeft w:val="0"/>
                  <w:marRight w:val="0"/>
                  <w:marTop w:val="0"/>
                  <w:marBottom w:val="0"/>
                  <w:divBdr>
                    <w:top w:val="none" w:sz="0" w:space="0" w:color="auto"/>
                    <w:left w:val="none" w:sz="0" w:space="0" w:color="auto"/>
                    <w:bottom w:val="none" w:sz="0" w:space="0" w:color="auto"/>
                    <w:right w:val="none" w:sz="0" w:space="0" w:color="auto"/>
                  </w:divBdr>
                  <w:divsChild>
                    <w:div w:id="1741437262">
                      <w:marLeft w:val="0"/>
                      <w:marRight w:val="0"/>
                      <w:marTop w:val="0"/>
                      <w:marBottom w:val="0"/>
                      <w:divBdr>
                        <w:top w:val="none" w:sz="0" w:space="0" w:color="auto"/>
                        <w:left w:val="none" w:sz="0" w:space="0" w:color="auto"/>
                        <w:bottom w:val="none" w:sz="0" w:space="0" w:color="auto"/>
                        <w:right w:val="none" w:sz="0" w:space="0" w:color="auto"/>
                      </w:divBdr>
                      <w:divsChild>
                        <w:div w:id="614824684">
                          <w:marLeft w:val="0"/>
                          <w:marRight w:val="0"/>
                          <w:marTop w:val="0"/>
                          <w:marBottom w:val="0"/>
                          <w:divBdr>
                            <w:top w:val="none" w:sz="0" w:space="0" w:color="auto"/>
                            <w:left w:val="none" w:sz="0" w:space="0" w:color="auto"/>
                            <w:bottom w:val="none" w:sz="0" w:space="0" w:color="auto"/>
                            <w:right w:val="none" w:sz="0" w:space="0" w:color="auto"/>
                          </w:divBdr>
                          <w:divsChild>
                            <w:div w:id="15570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4A1E16-658D-46B0-A644-F62CA9D0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6014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Bozovičar</dc:creator>
  <cp:keywords/>
  <dc:description/>
  <cp:lastModifiedBy>Mojca Bozovičar</cp:lastModifiedBy>
  <cp:revision>2</cp:revision>
  <dcterms:created xsi:type="dcterms:W3CDTF">2026-02-26T14:17:00Z</dcterms:created>
  <dcterms:modified xsi:type="dcterms:W3CDTF">2026-02-26T14:17:00Z</dcterms:modified>
</cp:coreProperties>
</file>