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9209"/>
      </w:tblGrid>
      <w:tr w:rsidR="002540D5" w:rsidRPr="00CA3D14" w:rsidTr="008A3509">
        <w:trPr>
          <w:trHeight w:val="300"/>
        </w:trPr>
        <w:tc>
          <w:tcPr>
            <w:tcW w:w="1423" w:type="dxa"/>
            <w:shd w:val="clear" w:color="auto" w:fill="auto"/>
          </w:tcPr>
          <w:p w:rsidR="002540D5" w:rsidRPr="002540D5" w:rsidRDefault="002540D5" w:rsidP="002540D5">
            <w:pPr>
              <w:pStyle w:val="Odstavekseznama"/>
              <w:rPr>
                <w:b/>
                <w:sz w:val="36"/>
              </w:rPr>
            </w:pPr>
          </w:p>
        </w:tc>
        <w:tc>
          <w:tcPr>
            <w:tcW w:w="9209" w:type="dxa"/>
          </w:tcPr>
          <w:p w:rsidR="002540D5" w:rsidRDefault="002540D5" w:rsidP="002540D5">
            <w:pPr>
              <w:jc w:val="center"/>
              <w:rPr>
                <w:b/>
                <w:sz w:val="36"/>
              </w:rPr>
            </w:pPr>
            <w:r w:rsidRPr="0043068C">
              <w:rPr>
                <w:b/>
                <w:sz w:val="36"/>
              </w:rPr>
              <w:t xml:space="preserve">Odgovori na vprašanja z usposabljanja za KOPOP, </w:t>
            </w:r>
          </w:p>
          <w:p w:rsidR="002540D5" w:rsidRPr="0043068C" w:rsidRDefault="002540D5" w:rsidP="002540D5">
            <w:pPr>
              <w:jc w:val="center"/>
              <w:rPr>
                <w:b/>
              </w:rPr>
            </w:pPr>
            <w:r w:rsidRPr="0043068C">
              <w:rPr>
                <w:b/>
                <w:sz w:val="36"/>
              </w:rPr>
              <w:t>dne 16.2.</w:t>
            </w:r>
            <w:r>
              <w:rPr>
                <w:b/>
                <w:sz w:val="36"/>
              </w:rPr>
              <w:t>20</w:t>
            </w:r>
            <w:r w:rsidRPr="0043068C">
              <w:rPr>
                <w:b/>
                <w:sz w:val="36"/>
              </w:rPr>
              <w:t>23</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J</w:t>
            </w:r>
            <w:r w:rsidRPr="00CA3D14">
              <w:t>agode so sadje, kako bo to usklajeno z IZBRANO KAKOVOSTJO sadje?</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Jagode so vključene v integrirano pridelavo sadja in oljk.</w:t>
            </w:r>
          </w:p>
        </w:tc>
      </w:tr>
      <w:tr w:rsidR="002540D5" w:rsidRPr="00CA3D14" w:rsidTr="008A3509">
        <w:trPr>
          <w:trHeight w:val="300"/>
        </w:trPr>
        <w:tc>
          <w:tcPr>
            <w:tcW w:w="1423" w:type="dxa"/>
            <w:shd w:val="clear" w:color="auto" w:fill="auto"/>
          </w:tcPr>
          <w:p w:rsidR="002540D5" w:rsidRDefault="002540D5" w:rsidP="002540D5">
            <w:pPr>
              <w:pStyle w:val="Odstavekseznama"/>
            </w:pPr>
          </w:p>
        </w:tc>
        <w:tc>
          <w:tcPr>
            <w:tcW w:w="9209" w:type="dxa"/>
          </w:tcPr>
          <w:p w:rsidR="002540D5"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Po 1.</w:t>
            </w:r>
            <w:r w:rsidRPr="00CA3D14">
              <w:t>7. nova AT, ali bo potrebno obstoječ svež GN izdelati ponovno? vsi rezultati AT namreč dvomim,</w:t>
            </w:r>
            <w:r>
              <w:t xml:space="preserve"> da bodo identični na obeh AT.</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V času predstavitve (16. 2. 2023) je veljal predlog uredbe v skladu s katerim je bila za leto 2023 veljavna analiza tal, izdelana od 1. 1. 2019, za obdobje 2024-2027 pa analiza tal, izdelana od 1. 7. 2023. Po tem pa je bila sprejeta odločitev, da z uredbo ne bodo določene datumske omejitve veljavnosti analiz tal. Uredba (http://www.pisrs.si/Pis.web/pregledPredpisa?id=URED8751) zdaj določa, da je veljavnost analize tal pet let, gnojilni načrt pa se izdela na podlagi veljavne analize tal.</w:t>
            </w:r>
            <w:r w:rsidRPr="00CA3D14">
              <w:br/>
              <w:t>Veljavne analize tal in na njihovi osnovi izdelani gnojilni načrti bodo veljavni, novih zaradi menjave sistema spremljanja stanja kmetijskih tal ne bo treba izdelati.</w:t>
            </w:r>
            <w:r w:rsidRPr="00CA3D14">
              <w:br/>
              <w:t>Izjema glede veljavnosti analiz tal velja za integrirano pridelavo, kjer je treba analize tal izvajati v skladu s tehnološkimi navodili za integrirano pridelavo. To pomeni, da morajo biti analize tal vedno mlajše od 5 let (obvezno izvajanje analiz tal vsakih 5 let). Pri IPZ morajo biti analize tal vedno mlajše od štirih let, pri IPZ v zavarovanih prostorih pa je treba analize tal izvajati vsaki dve leti.</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1. Kompost in </w:t>
            </w:r>
            <w:proofErr w:type="spellStart"/>
            <w:r w:rsidRPr="00CA3D14">
              <w:t>digestat</w:t>
            </w:r>
            <w:proofErr w:type="spellEnd"/>
            <w:r w:rsidRPr="00CA3D14">
              <w:t xml:space="preserve"> je lahko sporen za nadstandard,  v kolikor je narejen iz neustreznih substanc (</w:t>
            </w:r>
            <w:proofErr w:type="spellStart"/>
            <w:r w:rsidRPr="00CA3D14">
              <w:t>gso</w:t>
            </w:r>
            <w:proofErr w:type="spellEnd"/>
            <w:r w:rsidRPr="00CA3D14">
              <w:t xml:space="preserve"> krma, </w:t>
            </w:r>
            <w:proofErr w:type="spellStart"/>
            <w:r w:rsidRPr="00CA3D14">
              <w:t>wc</w:t>
            </w:r>
            <w:proofErr w:type="spellEnd"/>
            <w:r w:rsidRPr="00CA3D14">
              <w:t xml:space="preserve"> račka, kruh iz spornih e-jev..)? Se zavedate tega?. Prosim, če razložite razliko med kompostom in </w:t>
            </w:r>
            <w:proofErr w:type="spellStart"/>
            <w:r w:rsidRPr="00CA3D14">
              <w:t>digestatom</w:t>
            </w:r>
            <w:proofErr w:type="spellEnd"/>
            <w:r w:rsidRPr="00CA3D14">
              <w:t>.</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 xml:space="preserve">Za KOPOP je uporaba </w:t>
            </w:r>
            <w:proofErr w:type="spellStart"/>
            <w:r w:rsidRPr="00CA3D14">
              <w:t>digestata</w:t>
            </w:r>
            <w:proofErr w:type="spellEnd"/>
            <w:r w:rsidRPr="00CA3D14">
              <w:t xml:space="preserve"> oz. komposta standard. Velja prepoved, kot je določena s SN 2023-2027. V skladu z oz. za potrebe Uredbe o predelavi biološko razgradljivih odpadkov in uporabi komposta ali </w:t>
            </w:r>
            <w:proofErr w:type="spellStart"/>
            <w:r w:rsidRPr="00CA3D14">
              <w:t>digestata</w:t>
            </w:r>
            <w:proofErr w:type="spellEnd"/>
            <w:r w:rsidRPr="00CA3D14">
              <w:t xml:space="preserve"> (Uradni list RS, št. 99/13, 56/15, 56/18 in 44/22 – ZVO-2) je:</w:t>
            </w:r>
            <w:r w:rsidRPr="00CA3D14">
              <w:br/>
              <w:t xml:space="preserve">- </w:t>
            </w:r>
            <w:proofErr w:type="spellStart"/>
            <w:r w:rsidRPr="00CA3D14">
              <w:t>digestat</w:t>
            </w:r>
            <w:proofErr w:type="spellEnd"/>
            <w:r w:rsidRPr="00CA3D14">
              <w:t xml:space="preserve"> ali pregnito blato </w:t>
            </w:r>
            <w:proofErr w:type="spellStart"/>
            <w:r w:rsidRPr="00CA3D14">
              <w:t>poltekoč</w:t>
            </w:r>
            <w:proofErr w:type="spellEnd"/>
            <w:r w:rsidRPr="00CA3D14">
              <w:t xml:space="preserve"> ali tekoč material, ki nastane pri anaerobni razgradnji;</w:t>
            </w:r>
            <w:r w:rsidRPr="00CA3D14">
              <w:br/>
              <w:t xml:space="preserve">- kompost biološko stabilen, </w:t>
            </w:r>
            <w:proofErr w:type="spellStart"/>
            <w:r w:rsidRPr="00CA3D14">
              <w:t>higieniziran</w:t>
            </w:r>
            <w:proofErr w:type="spellEnd"/>
            <w:r w:rsidRPr="00CA3D14">
              <w:t>, humusu podoben material z več kot 15 % organske snovi, ki nastane pri kompostiranju.</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 bo določeno v kakšnem času po žetvi se mora posejati druga kultura- dosevek. Problem bo lahko poleti, ko bo sušno in zelo vroče in bo nesmiselno sejati takoj, če bomo že v naprej vedeli da ne bo vznika. Kako se bo to kontroliralo.  Kakšni bodo tu roki.</w:t>
            </w:r>
          </w:p>
        </w:tc>
      </w:tr>
      <w:tr w:rsidR="002540D5" w:rsidRPr="00CA3D14" w:rsidTr="008A3509">
        <w:trPr>
          <w:trHeight w:val="300"/>
        </w:trPr>
        <w:tc>
          <w:tcPr>
            <w:tcW w:w="1423" w:type="dxa"/>
            <w:shd w:val="clear" w:color="auto" w:fill="auto"/>
          </w:tcPr>
          <w:p w:rsidR="002540D5" w:rsidRPr="00CA3D14" w:rsidRDefault="002540D5" w:rsidP="002540D5">
            <w:pPr>
              <w:ind w:left="360"/>
            </w:pPr>
          </w:p>
        </w:tc>
        <w:tc>
          <w:tcPr>
            <w:tcW w:w="9209" w:type="dxa"/>
          </w:tcPr>
          <w:p w:rsidR="002540D5" w:rsidRPr="00CA3D14" w:rsidRDefault="002540D5" w:rsidP="002540D5">
            <w:r w:rsidRPr="00CA3D14">
              <w:t>Obdobje ni definirano na predlog deležnikov, ker so razmere na posameznih KMG različne in bi datumska omejitev predstavljala možnost za napake in neizpolnjevanje te zahteve oz. veliko primerov višje sile ali izjemnih okoliščin.</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A se ve za precizno gnojenje in škropljenje, kakšna tehnika za </w:t>
            </w:r>
            <w:proofErr w:type="spellStart"/>
            <w:r w:rsidRPr="00CA3D14">
              <w:t>izvajenje</w:t>
            </w:r>
            <w:proofErr w:type="spellEnd"/>
            <w:r w:rsidRPr="00CA3D14">
              <w:t xml:space="preserve"> intervencij bo potrebna </w:t>
            </w:r>
            <w:proofErr w:type="spellStart"/>
            <w:r w:rsidRPr="00CA3D14">
              <w:t>oz</w:t>
            </w:r>
            <w:proofErr w:type="spellEnd"/>
            <w:r w:rsidRPr="00CA3D14">
              <w:t>, oprema za izvajanje?</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Minimalna zahteva je povezava mehanizacije z GPS sistemom.</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 to pomeni, da ima lahko kmetija ima več vrst kolobarjev od 1 do 3</w:t>
            </w:r>
            <w:r>
              <w:t>?</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Ne, kmetija se lahko vključi samo v eno stopnjo kolobarja, ki jo izvaja pet let, kolikor traja obveznost intervencij KOPOP.</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 za EK tudi velja da ne bo več omejitve pri povečanju površin?</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Da, velja enako kot za KOPOP.</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A</w:t>
            </w:r>
            <w:r w:rsidRPr="00CA3D14">
              <w:t>li bo izjava v elektronski obliki ali papir?</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Izjava je ena od izjav, ki jih upravičenec poda ob oddaji zbirne vloge, torej v elektronski obliki.</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Ali bo možno dobiti kakšne sezname teh KMG, ki niso zaključile obveznosti</w:t>
            </w:r>
            <w:r>
              <w:t xml:space="preserve"> prevzetih v letih 2019, 2020?</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ARSKTRP bo posredovala sezname (jih je že).</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Ali je datum 20.3 2023 za prijavo dogovorjen s kontrolnimi organizacijami. Nekaj dni nazaj je KON-CERT pošiljal kmetijam obvestila z datumom 28.2.2023</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Ni več aktualno, ker je bil rok z uredbo  podaljšan na 30. 3. 2023 (http://www.pisrs.si/Pis.web/pregledPredpisa?id=URED8751).</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A</w:t>
            </w:r>
            <w:r w:rsidRPr="00CA3D14">
              <w:t xml:space="preserve">li je možna kombinacija vodni viri in </w:t>
            </w:r>
            <w:r>
              <w:t>ohranja</w:t>
            </w:r>
            <w:r w:rsidRPr="00CA3D14">
              <w:t>nje kolobarja. po terenu kroži več nasprotujočih se informacij.</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 xml:space="preserve">Da, ta kombinacija je mogoča, a z znižanim plačilom za kolobar v tej kombinaciji. </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Ali je možna vključitev v IP z vinogradom na ožjem VVO? In ali bo potem možna kombinacija IP z SOPO ukrepi za trajne nasade (vinograd)?</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Operacija Integrirana pridelava grozdja (IPG) se lahko izvaja na območju celotne RS. Shema INP 8.10 Uporaba le organskih gnojil za gnojenje z dušikom v trajnih nasadih (OGNTN) pa se ne izvaja na območju VVO_I_DR. Kombinacija IPG in OGNTN je sicer dovoljena, vendar je treba upoštevati, da se OGNTN ne izvaja na VVO_I_DR (na površinah, ki ležijo na VVO I DR, torej kombinacija ni mogoča zaradi prepovedi izvajanja OGNTN na teh območjih).</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Ali je zasnova kolobarja enako: izdelan GN? Ali kako se to smatra, da je kolobar zasnovan?</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Kolobar mora biti zasnovan ob vstopu v operacijo. Kasneje, tekom trajanja obveznosti se ne preverja, ker je kolobar živa stvar. Z upravnim pregledom se preverja ustreznost skupine kmetijskih rastlin za kolobar prek zbirne vloge, letno sledenje vrstenja koruze in ustreznost kolobarja po štirih in petih letih izvajanja operacije.</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Ali lahko kmet naredi sam gnojilni načrt na podlagi veljavne analize tal?</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Da.</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Ali lahko kmetija, ki je vstopila V KOPOP MET v letu 2022 podaljša ukrep pod starimi pogoji? Ali mora vstopiti pod novimi pogoji?</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Ne. Kmetiji, ki je v operacijo MET iz PRP 2014-2020 vstopila v letu 2022, se je ta obveznost z letom 2022 zaključila, ker je bila enoletna. V letu 2023 stare obveznosti tako ne more podaljšati, lahko pa na novo vstopi v operacijo MET iz SN 2023-2027. Tudi v obdobju 2023-2027 so vstopi v intervencije KOPOP prostovoljni.</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Ali ne bi za izdelavo GN na podlagi AT bilo podobno predvideno, kot pri krmnih obrokih, da si jih lahko naredi kmet sam in mu strokovnjak JSKS potem izdelan GN le še potrdi?</w:t>
            </w:r>
          </w:p>
        </w:tc>
      </w:tr>
      <w:tr w:rsidR="002540D5" w:rsidRPr="00CA3D14" w:rsidTr="008A3509">
        <w:trPr>
          <w:trHeight w:val="300"/>
        </w:trPr>
        <w:tc>
          <w:tcPr>
            <w:tcW w:w="1423" w:type="dxa"/>
            <w:shd w:val="clear" w:color="auto" w:fill="auto"/>
          </w:tcPr>
          <w:p w:rsidR="002540D5" w:rsidRPr="00CA3D14" w:rsidRDefault="002540D5" w:rsidP="002540D5">
            <w:pPr>
              <w:ind w:left="360"/>
            </w:pPr>
          </w:p>
        </w:tc>
        <w:tc>
          <w:tcPr>
            <w:tcW w:w="9209" w:type="dxa"/>
          </w:tcPr>
          <w:p w:rsidR="002540D5" w:rsidRPr="00CA3D14" w:rsidRDefault="002540D5" w:rsidP="002540D5">
            <w:r w:rsidRPr="00CA3D14">
              <w:t>Kot je urejeno zdaj, gnojilni načrt kmet lahko izdela sam brez potrditve s strani strokovnjaka JSKS.</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Ali pri KOL_2 pri zahtevi da mora biti vsaj 1x v petih letih vključena metuljnica mišljeno da mora biti metuljnica vključena kot glavni posevek ali zahtevi zadostimo tudi če jo vključimo kot naknadni posevek?</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Metuljnica mora biti vključena kot glavni posevek.</w:t>
            </w:r>
          </w:p>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Ali se ATGN izdela le v primeru, če se uporabljajo mineralna gnojila, ali tudi v primeru uporabe le organskih gnojil</w:t>
            </w:r>
            <w:r>
              <w:t>?</w:t>
            </w:r>
          </w:p>
        </w:tc>
      </w:tr>
      <w:tr w:rsidR="002540D5" w:rsidRPr="00CA3D14" w:rsidTr="008A3509">
        <w:trPr>
          <w:trHeight w:val="300"/>
        </w:trPr>
        <w:tc>
          <w:tcPr>
            <w:tcW w:w="1423" w:type="dxa"/>
            <w:shd w:val="clear" w:color="auto" w:fill="auto"/>
          </w:tcPr>
          <w:p w:rsidR="002540D5" w:rsidRPr="00CA3D14" w:rsidRDefault="002540D5" w:rsidP="002540D5"/>
        </w:tc>
        <w:tc>
          <w:tcPr>
            <w:tcW w:w="9209" w:type="dxa"/>
          </w:tcPr>
          <w:p w:rsidR="002540D5" w:rsidRPr="00CA3D14" w:rsidRDefault="002540D5" w:rsidP="002540D5">
            <w:r w:rsidRPr="00CA3D14">
              <w:t>Analizo tal in gnojilni načrt je treba izdelati za vse GERK, ki so vključeni v intervencije KOPOP in LOPS, na katerih se bodo uporabljala mineralna gnojila. Če se bodo uporabljala le organska gnojila, je treba voditi evidenco o uporabi organskih in mineralnih gnojil, analiza tal in gnojilni načrt pa nista potrebna.</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A</w:t>
            </w:r>
            <w:r w:rsidRPr="00CA3D14">
              <w:t xml:space="preserve">li se jeseni požeta koruza za zrnje, kjer naknadno  samo </w:t>
            </w:r>
            <w:proofErr w:type="spellStart"/>
            <w:r w:rsidRPr="00CA3D14">
              <w:t>pomulčimo</w:t>
            </w:r>
            <w:proofErr w:type="spellEnd"/>
            <w:r w:rsidRPr="00CA3D14">
              <w:t xml:space="preserve"> koruznico in pustimo preko zime na njivi šteje kot pokritost tal - celoletni pokrov za ukrep VOD ?</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Ne.</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Ali se zasnovan 5 - letni kolobar, ki se določi ob vstopu v operacijo KOL med leti lahko spreminja?</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Da.</w:t>
            </w:r>
            <w:r w:rsidRPr="00CA3D14">
              <w:br/>
              <w:t>Zasnovo kolobarja za petletno obdobje je treba imeti izdelano ob vstopu v operacijo. Kasneje, tekom trajanja obveznosti se ne preverja, ker je kolobar živa stvar.</w:t>
            </w:r>
            <w:r w:rsidRPr="00CA3D14">
              <w:br/>
              <w:t>Z upravnim pregledom se preverja ustreznost skupine kmetijskih rastlin za kolobar prek zbirne vloge, letno sledenje vrstenja koruze in ustreznost kolobarja po štirih in petih letih izvajanja operacije.</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Ali zavezanci za KOPOP, ne rabijo voditi podatkov o nabavi, oddaji, prejemu in zalogi posameznih vrst gnojil in sredstev za varstvo </w:t>
            </w:r>
            <w:proofErr w:type="spellStart"/>
            <w:r w:rsidRPr="00CA3D14">
              <w:t>rastiln</w:t>
            </w:r>
            <w:proofErr w:type="spellEnd"/>
            <w:r w:rsidRPr="00CA3D14">
              <w:t xml:space="preserve"> (zbirnikov na nivoju KMG)?</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Ne, t. i. zbirnikov za gnojila in FFS upravičenec ni treba več voditi. Zbirniki od leta 2023 niso več del zahtevanih evidenc o delovnih opravilih.</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Analiza je iz leta 2019, ali lahko izdelamo na podlagi te analize 5 letni gnojilni načrt za leta 2023 - 2027 ?</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Da, če bo gnojilni načrt izdelan v času, ko bo analiza tal še veljavna.</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Analiza tal. Zakaj je za travniške sadovnjake potrebna analiza tudi na organsko snov, če morajo biti zatravljeni in so enaki trajnemu travinju?</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Travniški sadovnjaki niso enaki trajnemu travinju. Gre za dvonamensko rabo in imajo tudi svojo šifro rabe.</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An</w:t>
            </w:r>
            <w:r w:rsidRPr="00CA3D14">
              <w:t>alize se že delajo in zaradi tega bodo prišli na kmetijo dodatni, čisto nepotrebno stroški</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Ne, dodatnih stroškov ne bo, ker uredba (http://www.pisrs.si/Pis.web/pregledPredpisa?id=URED8751) določa, da je veljavnost analize tal pet let, gnojilni načrt pa se izdela na podlagi veljavne analize tal.</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B</w:t>
            </w:r>
            <w:r w:rsidRPr="00CA3D14">
              <w:t xml:space="preserve">o dovoljena uporaba </w:t>
            </w:r>
            <w:proofErr w:type="spellStart"/>
            <w:r w:rsidRPr="00CA3D14">
              <w:t>glifosatov</w:t>
            </w:r>
            <w:proofErr w:type="spellEnd"/>
            <w:r w:rsidRPr="00CA3D14">
              <w:t>-po strnišču?</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 xml:space="preserve">Uporaba </w:t>
            </w:r>
            <w:proofErr w:type="spellStart"/>
            <w:r w:rsidRPr="00CA3D14">
              <w:t>glifosata</w:t>
            </w:r>
            <w:proofErr w:type="spellEnd"/>
            <w:r w:rsidRPr="00CA3D14">
              <w:t xml:space="preserve"> za enkrat ni prepovedana. Pri uporabi je treba spoštovati Pravilnik o pravilni uporabi fitofarmacevtskih sredstev (http://www.pisrs.si/Pis.web/pregledPredpisa?id=PRAV11541) in pri integrirani pridelavi tudi tehnološka navodila (https://www.uradni-list.si/_pdf/2023/Ur/u2023031.pdf). </w:t>
            </w:r>
          </w:p>
        </w:tc>
      </w:tr>
      <w:tr w:rsidR="002540D5" w:rsidRPr="00CA3D14" w:rsidTr="008A3509">
        <w:trPr>
          <w:trHeight w:val="300"/>
        </w:trPr>
        <w:tc>
          <w:tcPr>
            <w:tcW w:w="1423" w:type="dxa"/>
            <w:shd w:val="clear" w:color="auto" w:fill="auto"/>
          </w:tcPr>
          <w:p w:rsidR="002540D5" w:rsidRPr="00CA3D14" w:rsidRDefault="002540D5" w:rsidP="002540D5">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Bo kombinacija KOL in IPP/IPZ možna?</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Ne, ker IPP/IPZ vključujeta kolobar.</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Bo lahko vstopal na novo tudi v zaprte operacije, ko mu preteče obveznost ? Ali samo v odprte operacije ?</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Za upravičenca, ki se s prilagoditvijo obveznosti ne bo strinjal, bodo za vstope vse operacije odprte le v letu 2024, določene pa v letih 2025-2027 (vse operacije intervencij KOPOP_PS in KOPOP - Biotska raznovrstnost, v okviru intervencije KOPOP - Naravni viri pa operacije NV.1 Vodni viri, NV.11 Precizno gnojenje in škropljenje, NV.12 Senena prireja in NV.13 Varovalni pasovi ob vodotokih).</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B</w:t>
            </w:r>
            <w:r w:rsidRPr="00CA3D14">
              <w:t xml:space="preserve">rez podpore </w:t>
            </w:r>
            <w:proofErr w:type="spellStart"/>
            <w:r w:rsidRPr="00CA3D14">
              <w:t>GPSa</w:t>
            </w:r>
            <w:proofErr w:type="spellEnd"/>
            <w:r w:rsidRPr="00CA3D14">
              <w:t xml:space="preserve"> precizno kmetijstvo kot tako ne obstaja nikjer na svetu.</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To je po tem treba povedati določenim deležnikom, katerih predlogi in zahteve so temu dejstvu povsem nasprotne.</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Če ima kmetija poljedelsko - zelenjadarski kolobar, ali se mora vključiti v IPP in IPZ?</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 xml:space="preserve">Ne, vključitev v intervencije KOPOP je prostovoljna. Če se upravičenec odloči za vstop v IPP, mora v IPP vključiti vse površine, na katerih prideluje poljščine v tekočem letu in so večje ali enake 0,1 ha, in so v njegovi lasti ali zakupu, razen površin, ki so ekološke, ali so v preusmerjanju v ekološke. Če pa se upravičenec odloči za vstop v IPZ, mora v IPZ vključiti vse površine, na katerih prideluje zelenjadnice v tekočem letu in so večje ali enake 0,1 ha, in so v njegovi lasti ali zakupu, razen površin, ki so ekološke, ali so v preusmerjanju v ekološke. </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Če je kmetija vključena v intervencijo lokalne pasme (torej intervencija je na živali ne na površino). Ali kmet potrebuje ATGN če gnoji z mineralnimi gnojili?</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Da, razen v primeru, če je vključen le v operacijo Lokalne pasme intervencije Lokalne pasme in sorte.</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Č</w:t>
            </w:r>
            <w:r w:rsidRPr="00CA3D14">
              <w:t xml:space="preserve">e je kompost in </w:t>
            </w:r>
            <w:proofErr w:type="spellStart"/>
            <w:r w:rsidRPr="00CA3D14">
              <w:t>digestst</w:t>
            </w:r>
            <w:proofErr w:type="spellEnd"/>
            <w:r w:rsidRPr="00CA3D14">
              <w:t xml:space="preserve"> standard potem so tudi mineralna NPK gnojila standard. </w:t>
            </w:r>
            <w:r w:rsidRPr="00CA3D14">
              <w:br/>
              <w:t>kompost je po vseh merilih nadstandardno gnojilo in bi ga bilo potrebno dodatno podpreti</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 xml:space="preserve">Za KOPOP je uporaba </w:t>
            </w:r>
            <w:proofErr w:type="spellStart"/>
            <w:r w:rsidRPr="00CA3D14">
              <w:t>digestata</w:t>
            </w:r>
            <w:proofErr w:type="spellEnd"/>
            <w:r w:rsidRPr="00CA3D14">
              <w:t xml:space="preserve"> oz. komposta standard. Velja prepoved, kot je določena s SN 2023-2027 oz. sprejeto uredbo (http://www.pisrs.si/Pis.web/pregledPredpisa?id=URED8751). S tem v zvezi lahko predlagate strokovno argumentirano spremembo SN 2023-2027.</w:t>
            </w:r>
            <w:r w:rsidRPr="00CA3D14">
              <w:br/>
              <w:t>Da, tudi uporaba NPK gnojil je standard, nadstandard pa je v tem, da se omeji količina njihovega vnosa glede na običajno kmetijsko prakso.</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Če kmet ne vstopi v operacijo VOD tudi ne more uveljavljati stopnjo kolobarja 3. Pri nas je kar nekaj kmetij, ki so le delno na VOD ?</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To ne drži. Na površinah, ki ne ležijo na slojih za VOD, se lahko izvaja stopnja kolobarja 3 (KOL_3).</w:t>
            </w:r>
            <w:r w:rsidRPr="00CA3D14">
              <w:br/>
              <w:t>V operacijo VOD je treba vključiti vse tiste njivske površine KMG, ki ležijo v evidencah prispevnih območij vodnih teles:</w:t>
            </w:r>
            <w:r w:rsidRPr="00CA3D14">
              <w:br/>
              <w:t>- površinskih voda, kjer je glede na podatke državnega monitoringa stanja voda za obdobje 2014–2019 ugotovljeno zmerno ali slabo ekološko stanje površinskih voda glede na obremenitve s hranili (evidenca VT_POV_HRA);</w:t>
            </w:r>
            <w:r w:rsidRPr="00CA3D14">
              <w:br/>
              <w:t xml:space="preserve">- površinskih voda, kjer je glede na podatke državnega monitoringa stanja voda za obdobje 2014–2019 ugotovljeno zmerno ekološko stanje zaradi preseganja </w:t>
            </w:r>
            <w:proofErr w:type="spellStart"/>
            <w:r w:rsidRPr="00CA3D14">
              <w:t>okoljskih</w:t>
            </w:r>
            <w:proofErr w:type="spellEnd"/>
            <w:r w:rsidRPr="00CA3D14">
              <w:t xml:space="preserve"> standardov kakovosti za fitofarmacevtska sredstva (evidenca VT_POV_FFS);</w:t>
            </w:r>
            <w:r w:rsidRPr="00CA3D14">
              <w:br/>
              <w:t xml:space="preserve">- podzemnih voda, kjer je glede na podatke državnega monitoringa stanja voda za obdobje 2014–2019 ugotovljeno slabo kemijsko stanje zaradi preseganja </w:t>
            </w:r>
            <w:proofErr w:type="spellStart"/>
            <w:r w:rsidRPr="00CA3D14">
              <w:t>okoljskega</w:t>
            </w:r>
            <w:proofErr w:type="spellEnd"/>
            <w:r w:rsidRPr="00CA3D14">
              <w:t xml:space="preserve"> standarda kakovosti za nitrat (evidenca VT_POD_NIT).</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Če prav razumem, lahko kmet, če nima veljavnega AT in GN ob vnosu ZV za leto 2023/24, le to uredi do vnosa ZV naslednje leto (2024/25)</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Da. Uredba (http://www.pisrs.si/Pis.web/pregledPredpisa?id=URED8751) določa, da je treba analize tal in gnojilne načrte za leti 2023 in 2024 izdelati najpozneje do roka za oddajo zbirne vloge za leto 2024 iz uredbe IAKS za leto 2024.</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Če se bomo sedaj poglabljali v vsako operacijo in na dolgo debatirali, ne </w:t>
            </w:r>
            <w:proofErr w:type="spellStart"/>
            <w:r w:rsidRPr="00CA3D14">
              <w:t>bovo</w:t>
            </w:r>
            <w:proofErr w:type="spellEnd"/>
            <w:r w:rsidRPr="00CA3D14">
              <w:t xml:space="preserve"> gotovi do noči! Kaj če bi se konkretno pogovarjali kje drugje?</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O zahtevah za izvajanje se več ne pogovarjamo, ker so že sprejete s SN 2023-2027. Se je pa treba pogovoriti o njihovi izvedbi, saj so te informacije ključne tudi za kmetijske svetovalce, če hočejo kmetom nuditi oz. zagotoviti ustrezno podporo.</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Če sem prav razumel je vstop v integrirano pridelavo le do let 24 in 25.</w:t>
            </w:r>
          </w:p>
        </w:tc>
      </w:tr>
      <w:tr w:rsidR="002540D5" w:rsidRPr="00CA3D14" w:rsidTr="008A3509">
        <w:trPr>
          <w:trHeight w:val="300"/>
        </w:trPr>
        <w:tc>
          <w:tcPr>
            <w:tcW w:w="1423" w:type="dxa"/>
            <w:shd w:val="clear" w:color="auto" w:fill="auto"/>
          </w:tcPr>
          <w:p w:rsidR="002540D5" w:rsidRDefault="002540D5" w:rsidP="008A3509">
            <w:pPr>
              <w:ind w:left="360"/>
            </w:pPr>
          </w:p>
          <w:p w:rsidR="008A3509" w:rsidRPr="00CA3D14" w:rsidRDefault="008A3509" w:rsidP="008A3509">
            <w:pPr>
              <w:ind w:left="360"/>
            </w:pPr>
          </w:p>
        </w:tc>
        <w:tc>
          <w:tcPr>
            <w:tcW w:w="9209" w:type="dxa"/>
          </w:tcPr>
          <w:p w:rsidR="002540D5" w:rsidRPr="00CA3D14" w:rsidRDefault="002540D5" w:rsidP="002540D5">
            <w:r w:rsidRPr="00CA3D14">
              <w:t>V operacije integrirane pridelave je mogoče vstopiti v letih 2023 in 2024.</w:t>
            </w:r>
          </w:p>
        </w:tc>
      </w:tr>
      <w:tr w:rsidR="002540D5" w:rsidRPr="00CA3D14" w:rsidTr="008A3509">
        <w:trPr>
          <w:trHeight w:val="300"/>
        </w:trPr>
        <w:tc>
          <w:tcPr>
            <w:tcW w:w="1423" w:type="dxa"/>
            <w:shd w:val="clear" w:color="auto" w:fill="auto"/>
          </w:tcPr>
          <w:p w:rsidR="002540D5" w:rsidRDefault="002540D5" w:rsidP="008A3509">
            <w:pPr>
              <w:ind w:left="360"/>
            </w:pPr>
          </w:p>
          <w:p w:rsidR="008A3509" w:rsidRPr="00CA3D14" w:rsidRDefault="008A3509" w:rsidP="008A3509">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Če želimo izvajati izobraževanja za kmete moramo imeti čimprej vse odgovore, ker si brez točnih navodil ne znam predstavljati našega izvajanja na terenu.</w:t>
            </w:r>
          </w:p>
        </w:tc>
      </w:tr>
      <w:tr w:rsidR="002540D5" w:rsidRPr="00CA3D14" w:rsidTr="008A3509">
        <w:trPr>
          <w:trHeight w:val="300"/>
        </w:trPr>
        <w:tc>
          <w:tcPr>
            <w:tcW w:w="1423" w:type="dxa"/>
            <w:shd w:val="clear" w:color="auto" w:fill="auto"/>
          </w:tcPr>
          <w:p w:rsidR="002540D5" w:rsidRPr="00CA3D14" w:rsidRDefault="002540D5" w:rsidP="008A3509"/>
        </w:tc>
        <w:tc>
          <w:tcPr>
            <w:tcW w:w="9209" w:type="dxa"/>
          </w:tcPr>
          <w:p w:rsidR="002540D5" w:rsidRPr="00CA3D14" w:rsidRDefault="002540D5" w:rsidP="002540D5">
            <w:r w:rsidRPr="00CA3D14">
              <w:t>Pomembno je, da so odgovori točni, kar pa so lahko le po sprejemu pravnih podlag.</w:t>
            </w:r>
          </w:p>
        </w:tc>
      </w:tr>
      <w:tr w:rsidR="002540D5" w:rsidRPr="00CA3D14" w:rsidTr="008A3509">
        <w:trPr>
          <w:trHeight w:val="300"/>
        </w:trPr>
        <w:tc>
          <w:tcPr>
            <w:tcW w:w="1423" w:type="dxa"/>
            <w:shd w:val="clear" w:color="auto" w:fill="auto"/>
          </w:tcPr>
          <w:p w:rsidR="002540D5" w:rsidRDefault="002540D5" w:rsidP="008A3509">
            <w:pPr>
              <w:ind w:left="360"/>
            </w:pPr>
          </w:p>
          <w:p w:rsidR="008A3509" w:rsidRPr="00CA3D14" w:rsidRDefault="008A3509" w:rsidP="008A3509">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Odsedaj prehod med podobnimi operacijami KOPOP npr. VIN in SAD ni bil možen, kako bo to v novem obdobju, se pravi med IVG in IPS (integrirana pridelava) - v </w:t>
            </w:r>
            <w:proofErr w:type="spellStart"/>
            <w:r w:rsidRPr="00CA3D14">
              <w:t>prp</w:t>
            </w:r>
            <w:proofErr w:type="spellEnd"/>
            <w:r w:rsidRPr="00CA3D14">
              <w:t xml:space="preserve"> 2007-2013 je bilo to možno...</w:t>
            </w:r>
          </w:p>
        </w:tc>
      </w:tr>
      <w:tr w:rsidR="002540D5" w:rsidRPr="00CA3D14" w:rsidTr="008A3509">
        <w:trPr>
          <w:trHeight w:val="300"/>
        </w:trPr>
        <w:tc>
          <w:tcPr>
            <w:tcW w:w="1423" w:type="dxa"/>
            <w:shd w:val="clear" w:color="auto" w:fill="auto"/>
          </w:tcPr>
          <w:p w:rsidR="002540D5" w:rsidRPr="00CA3D14" w:rsidRDefault="002540D5" w:rsidP="008A3509"/>
        </w:tc>
        <w:tc>
          <w:tcPr>
            <w:tcW w:w="9209" w:type="dxa"/>
          </w:tcPr>
          <w:p w:rsidR="002540D5" w:rsidRPr="00CA3D14" w:rsidRDefault="002540D5" w:rsidP="002540D5">
            <w:r w:rsidRPr="00CA3D14">
              <w:t>Ne, ta zamenjava v okviru SN 2023-2027 ni mogoča.</w:t>
            </w:r>
          </w:p>
        </w:tc>
      </w:tr>
      <w:tr w:rsidR="002540D5" w:rsidRPr="00CA3D14" w:rsidTr="008A3509">
        <w:trPr>
          <w:trHeight w:val="300"/>
        </w:trPr>
        <w:tc>
          <w:tcPr>
            <w:tcW w:w="1423" w:type="dxa"/>
            <w:shd w:val="clear" w:color="auto" w:fill="auto"/>
          </w:tcPr>
          <w:p w:rsidR="002540D5" w:rsidRPr="00CA3D14" w:rsidRDefault="002540D5" w:rsidP="008A3509"/>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DTM se ne šteje v skupino trav, TDM- ni v  isti skupina kmetijskih rastlin?</w:t>
            </w:r>
          </w:p>
        </w:tc>
      </w:tr>
      <w:tr w:rsidR="002540D5" w:rsidRPr="00CA3D14" w:rsidTr="008A3509">
        <w:trPr>
          <w:trHeight w:val="300"/>
        </w:trPr>
        <w:tc>
          <w:tcPr>
            <w:tcW w:w="1423" w:type="dxa"/>
            <w:shd w:val="clear" w:color="auto" w:fill="auto"/>
          </w:tcPr>
          <w:p w:rsidR="002540D5" w:rsidRPr="00CA3D14" w:rsidRDefault="002540D5" w:rsidP="008A3509"/>
        </w:tc>
        <w:tc>
          <w:tcPr>
            <w:tcW w:w="9209" w:type="dxa"/>
          </w:tcPr>
          <w:p w:rsidR="002540D5" w:rsidRPr="00CA3D14" w:rsidRDefault="002540D5" w:rsidP="002540D5">
            <w:r w:rsidRPr="00CA3D14">
              <w:t>Z uredbo (http://www.pisrs.si/Pis.web/pregledPredpisa?id=URED8751) je določeno, da se različne vrste trav in travno deteljnih mešanic štejejo kot ena kmetijska rastlina v kolobarju. Deteljno travne mešanice to "skupino" kmetijskih rastlin niso vključene.</w:t>
            </w:r>
          </w:p>
        </w:tc>
      </w:tr>
      <w:tr w:rsidR="002540D5" w:rsidRPr="00CA3D14" w:rsidTr="008A3509">
        <w:trPr>
          <w:trHeight w:val="300"/>
        </w:trPr>
        <w:tc>
          <w:tcPr>
            <w:tcW w:w="1423" w:type="dxa"/>
            <w:shd w:val="clear" w:color="auto" w:fill="auto"/>
          </w:tcPr>
          <w:p w:rsidR="002540D5" w:rsidRPr="00CA3D14" w:rsidRDefault="002540D5" w:rsidP="008A3509"/>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E-evidence vpis v 7 dneh, predvidevam da bo to zelo velik problem. Ob delovnih konicah bo to težko zagotoviti, če se bo v e- evidence zapisoval dan vnosa evidence bo to velika težava.  </w:t>
            </w:r>
            <w:proofErr w:type="spellStart"/>
            <w:r w:rsidRPr="00CA3D14">
              <w:t>Pomojem</w:t>
            </w:r>
            <w:proofErr w:type="spellEnd"/>
            <w:r w:rsidRPr="00CA3D14">
              <w:t xml:space="preserve"> je potrebno podaljšati čas vnosa evidence, saj nekateri si pišejo zapiske in konec</w:t>
            </w:r>
            <w:r>
              <w:t xml:space="preserve"> </w:t>
            </w:r>
            <w:r w:rsidRPr="00CA3D14">
              <w:t>meseca zapišejo v evidence.</w:t>
            </w:r>
          </w:p>
        </w:tc>
      </w:tr>
      <w:tr w:rsidR="002540D5" w:rsidRPr="00CA3D14" w:rsidTr="008A3509">
        <w:trPr>
          <w:trHeight w:val="300"/>
        </w:trPr>
        <w:tc>
          <w:tcPr>
            <w:tcW w:w="1423" w:type="dxa"/>
            <w:shd w:val="clear" w:color="auto" w:fill="auto"/>
          </w:tcPr>
          <w:p w:rsidR="002540D5" w:rsidRPr="00CA3D14" w:rsidRDefault="002540D5" w:rsidP="008A3509"/>
        </w:tc>
        <w:tc>
          <w:tcPr>
            <w:tcW w:w="9209" w:type="dxa"/>
          </w:tcPr>
          <w:p w:rsidR="002540D5" w:rsidRPr="00CA3D14" w:rsidRDefault="002540D5" w:rsidP="002540D5">
            <w:r w:rsidRPr="00CA3D14">
              <w:t>Za leti 2023 in 2024 ne bo določenih rokov za vpisovanje opravljenih delovnih opravil, vendar se morajo evidence voditi AŽURNO in najbolje sproti, sicer kontrola ni ustrezno izvedljiva.. Od 1. 1. 2025 naprej se bodo vodile le e-evidence. V skladu s 148.c členom Zakona o kmetijstvu (http://pisrs.si/Pis.web/pregledPredpisa?id=ZAKO4716) podrobnejšo vsebino in podrobnejše postopke vodenja evidence predpiše minister.</w:t>
            </w:r>
          </w:p>
        </w:tc>
      </w:tr>
      <w:tr w:rsidR="002540D5" w:rsidRPr="00CA3D14" w:rsidTr="008A3509">
        <w:trPr>
          <w:trHeight w:val="300"/>
        </w:trPr>
        <w:tc>
          <w:tcPr>
            <w:tcW w:w="1423" w:type="dxa"/>
            <w:shd w:val="clear" w:color="auto" w:fill="auto"/>
          </w:tcPr>
          <w:p w:rsidR="002540D5" w:rsidRPr="00CA3D14" w:rsidRDefault="002540D5" w:rsidP="008A3509"/>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Vod in </w:t>
            </w:r>
            <w:proofErr w:type="spellStart"/>
            <w:r w:rsidRPr="00CA3D14">
              <w:t>KOl</w:t>
            </w:r>
            <w:proofErr w:type="spellEnd"/>
            <w:r w:rsidRPr="00CA3D14">
              <w:t xml:space="preserve"> 3 ne gre kombinirati</w:t>
            </w:r>
            <w:r>
              <w:t>?</w:t>
            </w:r>
          </w:p>
        </w:tc>
      </w:tr>
      <w:tr w:rsidR="002540D5" w:rsidRPr="00CA3D14" w:rsidTr="008A3509">
        <w:trPr>
          <w:trHeight w:val="300"/>
        </w:trPr>
        <w:tc>
          <w:tcPr>
            <w:tcW w:w="1423" w:type="dxa"/>
            <w:shd w:val="clear" w:color="auto" w:fill="auto"/>
          </w:tcPr>
          <w:p w:rsidR="002540D5" w:rsidRPr="00CA3D14" w:rsidRDefault="002540D5" w:rsidP="008A3509">
            <w:pPr>
              <w:pStyle w:val="Odstavekseznama"/>
            </w:pPr>
          </w:p>
        </w:tc>
        <w:tc>
          <w:tcPr>
            <w:tcW w:w="9209" w:type="dxa"/>
          </w:tcPr>
          <w:p w:rsidR="002540D5" w:rsidRPr="00CA3D14" w:rsidRDefault="002540D5" w:rsidP="002540D5">
            <w:r w:rsidRPr="00CA3D14">
              <w:t>Kombinacije je mogoča, vendar plačilo za KOL_3 v kombinaciji z VOD znaša 25,80 € na ha letno.</w:t>
            </w:r>
          </w:p>
        </w:tc>
      </w:tr>
      <w:tr w:rsidR="002540D5" w:rsidRPr="00CA3D14" w:rsidTr="008A3509">
        <w:trPr>
          <w:trHeight w:val="300"/>
        </w:trPr>
        <w:tc>
          <w:tcPr>
            <w:tcW w:w="1423" w:type="dxa"/>
            <w:shd w:val="clear" w:color="auto" w:fill="auto"/>
          </w:tcPr>
          <w:p w:rsidR="002540D5" w:rsidRPr="00CA3D14" w:rsidRDefault="002540D5" w:rsidP="008A3509">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Glede ANALIZ TAL - je sporno, če stranka naredi/dobi analizo PO ODDAJI zbirne vloge? Ali je glede kontrol obvezno imeti analize pred oddajo zbirnih vlog?</w:t>
            </w:r>
          </w:p>
        </w:tc>
      </w:tr>
      <w:tr w:rsidR="002540D5" w:rsidRPr="00CA3D14" w:rsidTr="008A3509">
        <w:trPr>
          <w:trHeight w:val="300"/>
        </w:trPr>
        <w:tc>
          <w:tcPr>
            <w:tcW w:w="1423" w:type="dxa"/>
            <w:shd w:val="clear" w:color="auto" w:fill="auto"/>
          </w:tcPr>
          <w:p w:rsidR="002540D5" w:rsidRPr="00CA3D14" w:rsidRDefault="002540D5" w:rsidP="008A3509">
            <w:pPr>
              <w:pStyle w:val="Odstavekseznama"/>
            </w:pPr>
          </w:p>
        </w:tc>
        <w:tc>
          <w:tcPr>
            <w:tcW w:w="9209" w:type="dxa"/>
          </w:tcPr>
          <w:p w:rsidR="002540D5" w:rsidRPr="00CA3D14" w:rsidRDefault="002540D5" w:rsidP="002540D5">
            <w:r w:rsidRPr="00CA3D14">
              <w:t>Analiza tal in gnojilni načrt morata biti izdelana do oddaje zbirne vloge za tekoče leto, za leto 2023 in 2024 pa je z uredbo (http://www.pisrs.si/Pis.web/pregledPredpisa?id=URED8751) določena izjema: analize tal in gnojilne načrte bo treba izdelati najpozneje do roka za oddajo zbirne vloge za leto 2024 iz uredbe IAKS za leto 2024.</w:t>
            </w:r>
            <w:r w:rsidRPr="00CA3D14">
              <w:br/>
              <w:t>Izjema glede veljavnosti analiz tal velja za integrirano pridelavo, kjer je treba analize tal izvajati v skladu s tehnološkimi navodili za integrirano pridelavo. To pomeni, da morajo biti analize tal vedno mlajše od 5 let (obvezno izvajanje analiz tal vsakih 5 let). Pri IPZ je pa morajo biti analize tal vedno mlajše od štirih let, pri IPZ v zaščitenih prostorih pa je treba analize tal izvajati vsaki dve leti.</w:t>
            </w:r>
          </w:p>
        </w:tc>
      </w:tr>
      <w:tr w:rsidR="002540D5" w:rsidRPr="00CA3D14" w:rsidTr="008A3509">
        <w:trPr>
          <w:trHeight w:val="300"/>
        </w:trPr>
        <w:tc>
          <w:tcPr>
            <w:tcW w:w="1423" w:type="dxa"/>
            <w:shd w:val="clear" w:color="auto" w:fill="auto"/>
          </w:tcPr>
          <w:p w:rsidR="002540D5" w:rsidRPr="00CA3D14" w:rsidRDefault="002540D5" w:rsidP="008A3509">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Glede analiz tal bi morali to predavanje imeti že jeseni 2022 in ne tik pred oddajo zbirnih vlog za leto 2023. Do sedaj smo imeli samo podatek veljavne analize tal po 1.1.2019.</w:t>
            </w:r>
          </w:p>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tcPr>
          <w:p w:rsidR="002540D5" w:rsidRPr="00CA3D14" w:rsidRDefault="002540D5" w:rsidP="002540D5">
            <w:r w:rsidRPr="00CA3D14">
              <w:t xml:space="preserve">Tudi zato je z uredbo določena izjema za leto 2023 in se analiza tal in gnojilni načrt za leto 2023 lahko izdelata najpozneje do roka za oddajo zbirne vloge za leto 2024 iz uredbe IAKS </w:t>
            </w:r>
            <w:proofErr w:type="spellStart"/>
            <w:r w:rsidRPr="00CA3D14">
              <w:t>zs</w:t>
            </w:r>
            <w:proofErr w:type="spellEnd"/>
            <w:r w:rsidRPr="00CA3D14">
              <w:t xml:space="preserve"> leto 2024. Z uredbo (http://www.pisrs.si/Pis.web/pregledPredpisa?id=URED8751) niso določene datumske omejitve veljavnosti analiz tal. Določeno je, da je veljavnost analize tal 5 let, gnojilni načrt pa se izdela na podlagi veljavne analize tal.</w:t>
            </w:r>
            <w:r w:rsidRPr="00CA3D14">
              <w:br/>
              <w:t>Izjema glede veljavnosti analiz tal velja za integrirano pridelavo, kjer je treba analize tal izvajati v skladu s tehnološkimi navodili za integrirano pridelavo. To pomeni, da morajo biti analize tal vedno mlajše od 5 let (obvezno izvajanje analiz tal vsakih 5 let). Pri IPZ morajo biti analize tal vedno mlajše od štirih let, pri IPZ v zavarovanih prostorih pa je treba analize tal izvajati vsaki dve leti.</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G</w:t>
            </w:r>
            <w:r w:rsidRPr="00CA3D14">
              <w:t>lede na to, da se "pravila igre" glede analiz tal spreminjajo, pa bo nekdo moral nositi te stroške. Kdo bo to odgovarjal? Mi kmete nagovarjamo, da naj čimprej naredijo analize in gnojilne načrte... zdaj pa kontra</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V času predstavitve (16. 2. 2023) je veljal predlog uredbe v skladu s katerim je bila za leto 2023 veljavna analiza tal izdelana od 1. 1. 2019, za obdobje 2024-2027 pa analiza tal izdelana od 1. 7. 2023. Po tem pa je bila sprejeta odločitev, da z uredbo ne bodo določene datumske omejitve veljavnosti analiz tal.</w:t>
            </w:r>
            <w:r w:rsidRPr="00CA3D14">
              <w:br/>
              <w:t>Uredba (http://www.pisrs.si/Pis.web/pregledPredpisa?id=URED8751) zdaj določa, da je veljavnost analize tal pet let, gnojilni načrt pa se izdela na podlagi veljavne analize tal.</w:t>
            </w:r>
            <w:r w:rsidRPr="00CA3D14">
              <w:br/>
              <w:t>Veljavne analize tal in na njihovi osnovi izdelani gnojilni načrti bodo veljavni, novih zaradi menjave sistema spremljanja stanja kmetijskih tal ne bo treba izdelati.</w:t>
            </w:r>
            <w:r w:rsidRPr="00CA3D14">
              <w:br/>
              <w:t>Sicer pa vam je bilo že na začeto usposabljanj v februarju letos jasno povedano, da se lahko še kaj spremeni. Tako bi morali razlagati tudi kmetom.</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G</w:t>
            </w:r>
            <w:r w:rsidRPr="00CA3D14">
              <w:t xml:space="preserve">lede na to, da se prilagoditve gledajo na GERKE. Kako bomo mi, imeli predstavo v času izpolnjevanja izbirne vloge, s katerim </w:t>
            </w:r>
            <w:proofErr w:type="spellStart"/>
            <w:r w:rsidRPr="00CA3D14">
              <w:t>gerkom</w:t>
            </w:r>
            <w:proofErr w:type="spellEnd"/>
            <w:r w:rsidRPr="00CA3D14">
              <w:t>- gre lahko na novo SKP/ oz. na prilagoditev? Dobimo sezname dotičnih kmetij/</w:t>
            </w:r>
            <w:proofErr w:type="spellStart"/>
            <w:r w:rsidRPr="00CA3D14">
              <w:t>gerkov</w:t>
            </w:r>
            <w:proofErr w:type="spellEnd"/>
            <w:r w:rsidRPr="00CA3D14">
              <w:t>?  KAJ PA JE Z OSTALIMI OPERACIJAMI/ ČE SLUČAJNO NE BODO "ODPRTE"?</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ARSKTRP bo posredovala sezname (jih je že).</w:t>
            </w:r>
            <w:r w:rsidRPr="00CA3D14">
              <w:br/>
              <w:t>Za upravičenca, ki se s prilagoditvijo obveznosti ne bo strinjal, bodo za vstope vse operacije odprte le v letu 2024, določene pa v letih 2025-2027 (vse operacije intervencij KOPOP_PS in KOPOP - Biotska raznovrstnost, v okviru intervencije KOPOP - Naravni viri pa operacije NV.1 Vodni viri, NV.11 Precizno gnojenje in škropljenje, NV.12 Senena prireja in NV.13 Varovalni pasovi ob vodotokih).</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Imam analizo iz leta 2018. Kaj naredim sedaj novo analizo pred </w:t>
            </w:r>
            <w:proofErr w:type="spellStart"/>
            <w:r w:rsidRPr="00CA3D14">
              <w:t>ddajo</w:t>
            </w:r>
            <w:proofErr w:type="spellEnd"/>
            <w:r w:rsidRPr="00CA3D14">
              <w:t xml:space="preserve"> ZV ali čakam za izdelavo analize tal julija 2023?</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Če so analize tal in gnojilni načrti za leti 2023 in 2024 starejši od pet let, ali pa še niso izdelani za vse GERK, na katerih se uporabljajo mineralna gnojila, jih je treba izdelati najpozneje do roka za oddajo zbirne vloge za leto 2024 iz uredbe IAKS za leto 2024 v skladu s predpisanimi zahtevami. Z analizo tal ni treba čakati do 1. 7. 2023, ker je z uredbo (http://www.pisrs.si/Pis.web/pregledPredpisa?id=URED8751) določeno, da je veljavnost analize tal pet let, gnojilni načrt pa se izdela na podlagi veljavne analize tal. Datumskih omejitev veljavnosti analiz tal uredba ne določa.</w:t>
            </w:r>
            <w:r w:rsidRPr="00CA3D14">
              <w:br/>
              <w:t>Izjema glede veljavnosti analiz tal velja za integrirano pridelavo, kjer je treba analize tal izvajati v skladu s tehnološkimi navodili za integrirano pridelavo. To pomeni, da morajo biti analize tal vedno mlajše od 5 let (obvezno izvajanje analiz tal vsakih 5 let). Pri IPZ je pa morajo biti analize tal vedno mlajše od štirih let, pri IPZ v zaščitenih prostorih pa je treba analize tal izvajati vsaki dve leti.</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J</w:t>
            </w:r>
            <w:r w:rsidRPr="00CA3D14">
              <w:t>agode nikoli niso bile urejene pod zelenjavo, tudi TN niso bile in tudi zdaj jih nismo nameravali dati no</w:t>
            </w:r>
            <w:r>
              <w:t>ter. Torej je to zdaj vaš uradn</w:t>
            </w:r>
            <w:r w:rsidRPr="00CA3D14">
              <w:t>i odgovor, tudi jagode moramo dati v TN za zelenjavo?</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 xml:space="preserve">V šifrantu vrst in skupin kmetijskih rastlin za leto 2022 (https://www.gov.si/assets/organi-v-sestavi/ARSKTRP/SNP/ZV-2022/ZV-2022-TA/Sifrant-vrst-oz.-skupin-kmetijskih-rastlin-ter-pomoci-za-ZV-2022.xlsx) so bile jagode uvrščene pod </w:t>
            </w:r>
            <w:proofErr w:type="spellStart"/>
            <w:r w:rsidRPr="00CA3D14">
              <w:t>ekoZ</w:t>
            </w:r>
            <w:proofErr w:type="spellEnd"/>
            <w:r w:rsidRPr="00CA3D14">
              <w:t xml:space="preserve"> (plačilo za zelenjadnice). Enako je veljalo tudi za leta 2021, 2020, 2019, ... Z uredbo 2023-2027 je določeno, da so jagode vključene pod sadje pri integrirani pridelavi in BVR, kot zelenjadnica pa pri KOL, VOD, PAS_VOD in EK.</w:t>
            </w:r>
          </w:p>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pPr>
          </w:p>
        </w:tc>
        <w:tc>
          <w:tcPr>
            <w:tcW w:w="9209" w:type="dxa"/>
          </w:tcPr>
          <w:p w:rsidR="002540D5" w:rsidRPr="00CA3D14" w:rsidRDefault="002540D5" w:rsidP="002540D5">
            <w:r w:rsidRPr="00CA3D14">
              <w:t>Jaz ne bi prehitro govoril o tem, da bi "mi pomagali pri vodenju evidenc". Predlagam, da MKGP razmisli o zaposlitvi in financiranju tehničnih kolegov za administracijo znotraj KSS. Svetovalci bremena evidenc ne bomo zmogli.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Za leti 2023 in 2024 se bodo evidence o delovnih opravilih vodile na način, kot ga poznamo iz programskega obdobja 2014-2020, v letu 2024 pa tudi kot e-evidence. Kako bo z vodenjem e-evidenc od leta 2025 naprej, se bo treba dogovoriti. V skladu s 148.c členom Zakona o kmetijstvu (http://pisrs.si/Pis.web/pregledPredpisa?id=ZAKO4716) podrobnejšo vsebino in podrobnejše postopke vodenja evidence sicer predpiše minister.</w:t>
            </w:r>
          </w:p>
        </w:tc>
      </w:tr>
      <w:tr w:rsidR="002540D5" w:rsidRPr="00CA3D14" w:rsidTr="008A3509">
        <w:trPr>
          <w:trHeight w:val="300"/>
        </w:trPr>
        <w:tc>
          <w:tcPr>
            <w:tcW w:w="1423" w:type="dxa"/>
            <w:shd w:val="clear" w:color="auto" w:fill="auto"/>
          </w:tcPr>
          <w:p w:rsidR="002540D5" w:rsidRPr="00CA3D14" w:rsidRDefault="002540D5" w:rsidP="00AB04F3"/>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Je dovolj en komplet analiz za obe kategoriji govedi? krmni obroki so različni.</w:t>
            </w:r>
          </w:p>
        </w:tc>
      </w:tr>
      <w:tr w:rsidR="002540D5" w:rsidRPr="00CA3D14" w:rsidTr="008A3509">
        <w:trPr>
          <w:trHeight w:val="300"/>
        </w:trPr>
        <w:tc>
          <w:tcPr>
            <w:tcW w:w="1423" w:type="dxa"/>
            <w:shd w:val="clear" w:color="auto" w:fill="auto"/>
          </w:tcPr>
          <w:p w:rsidR="002540D5" w:rsidRPr="00CA3D14" w:rsidRDefault="002540D5" w:rsidP="00AB04F3"/>
        </w:tc>
        <w:tc>
          <w:tcPr>
            <w:tcW w:w="9209" w:type="dxa"/>
          </w:tcPr>
          <w:p w:rsidR="002540D5" w:rsidRPr="00CA3D14" w:rsidRDefault="002540D5" w:rsidP="002540D5">
            <w:r w:rsidRPr="00CA3D14">
              <w:t xml:space="preserve">Če na KMG izvajajo operacijo PS_GOV hkrati za goveje pitance in za krave molznice, je treba zagotoviti analize za vsako kategorijo živali posebej. </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Je kaj določeno kakšno vsebnost sušine mora vsebovati mrva iz travinja? Sprašujem zato, ker se na nekaterih kmetijah zaradi doseganja boljše kvalitete krme mrva </w:t>
            </w:r>
            <w:proofErr w:type="spellStart"/>
            <w:r w:rsidRPr="00CA3D14">
              <w:t>zbalira</w:t>
            </w:r>
            <w:proofErr w:type="spellEnd"/>
            <w:r w:rsidRPr="00CA3D14">
              <w:t xml:space="preserve"> precej sveža in se nato </w:t>
            </w:r>
            <w:proofErr w:type="spellStart"/>
            <w:r w:rsidRPr="00CA3D14">
              <w:t>dosuši</w:t>
            </w:r>
            <w:proofErr w:type="spellEnd"/>
            <w:r w:rsidRPr="00CA3D14">
              <w:t xml:space="preserve"> na sušilnicah. V tem primeru je otresanje semen na travnikih precej manjše.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Ne, to ni predpisano.</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Kaj če se ne doseže 70 % vzorcev vsebnost sečnine med 15 in 30? Odbitki ali brez plačila?</w:t>
            </w:r>
          </w:p>
        </w:tc>
      </w:tr>
      <w:tr w:rsidR="002540D5" w:rsidRPr="00CA3D14" w:rsidTr="008A3509">
        <w:trPr>
          <w:trHeight w:val="300"/>
        </w:trPr>
        <w:tc>
          <w:tcPr>
            <w:tcW w:w="1423" w:type="dxa"/>
            <w:shd w:val="clear" w:color="auto" w:fill="auto"/>
          </w:tcPr>
          <w:p w:rsidR="002540D5" w:rsidRPr="00CA3D14" w:rsidRDefault="002540D5" w:rsidP="00AB04F3"/>
        </w:tc>
        <w:tc>
          <w:tcPr>
            <w:tcW w:w="9209" w:type="dxa"/>
          </w:tcPr>
          <w:p w:rsidR="002540D5" w:rsidRPr="00CA3D14" w:rsidRDefault="002540D5" w:rsidP="002540D5">
            <w:r w:rsidRPr="00CA3D14">
              <w:t>Zahteva operacije PS_GOV je, da mora najmanj 70 % preiskanih vzorcev mleka vsebovati med 15 in 30 mg sečnine na 100 ml. Zahteva mora biti izpolnjena na letni ravni. Sankcija za leto 2023 ni predvidena.</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Kaj konkretno se razume pod precizno škropljenje? Ali gre za GPS podprto mehanizacijo ali zadostuje ''manj precizna'' mehanizacija? zakaj je pa predvideno samo plačilo za 4.000 ha?? torej za 1,5 kmetijski podjetji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Hektarji, ki so navedeni v SN 2023-2027 pri operaciji Precizno gnojenje in škropljenje, predstavljajo kazalnike, ki za upravičence niso relevantni. Ne glede na to, ali je za kazalnik določen 1 ha ali pa 100.000 ha, se bo plačilo, ob upoštevanju predpisanih zahtev, dodelilo za vse hektarje iz zahtevkov. </w:t>
            </w:r>
            <w:r w:rsidRPr="00CA3D14">
              <w:br/>
              <w:t>Minimalna zahteva je povezava mehanizacije z GPS sistemom.</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Kaj pa veljavnost analiz, ki so bile narejene v letu 2023 in to pred 1.7.2023.</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Vprašanje ni več aktualno.</w:t>
            </w:r>
            <w:r w:rsidRPr="00CA3D14">
              <w:br/>
              <w:t>Z uredbo (http://www.pisrs.si/Pis.web/pregledPredpisa?id=URED8751) niso določene datumske omejitve veljavnosti analiz tal. Uredba določa, da je veljavnost analize tal pet let, gnojilni načrt pa se izdela na podlagi veljavne analize tal.</w:t>
            </w:r>
            <w:r w:rsidRPr="00CA3D14">
              <w:br/>
              <w:t>Izjema glede veljavnosti analiz tal velja za integrirano pridelavo, kjer je treba analize tal izvajati v skladu s tehnološkimi navodili za integrirano pridelavo. To pomeni, da morajo biti analize tal vedno mlajše od 5 let (obvezno izvajanje analiz tal vsakih 5 let). Pri IPZ je pa morajo biti analize tal vedno mlajše od štirih let, pri IPZ v zaščitenih prostorih pa je treba analize tal izvajati vsaki dve leti.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Kaj pa, če kmet, ki je stopil v 19 oz. 20 v EK izstopi iz EK v celoti -  Koliko časa ne more potem ponovno vstopiti - ali drži: do zaključka obstoječe petletke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Upravičencu, ki je v ukrep EK iz PRP 2014-2020 vstopil v letu 2019 ali 2020, se mu ta obveznost zaključi z letom 2023 ali 2024. Če se v letu 2023 ta upravičenec s prilagoditvijo obveznosti na SN 2023-2027 ne strinja, mu obveznost izvajanja ukrepa EK iz PRP 2014-2020 preneha brez vračila že prejetih sredstev. V tem primeru upravičenec v intervencijo EK ne more vstopiti v letu 2023.</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Kako bodo kmetje lahko samo spremljali izločanje dušika pri živalih (na kg mleka/na kg mesa)? Da bodo to lahko vpisali v evidence </w:t>
            </w:r>
            <w:r>
              <w:t>n</w:t>
            </w:r>
            <w:r w:rsidRPr="00CA3D14">
              <w:t>amenjene tej operaciji?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Za izračun izločanja dušika se uporabi Excel program, ki bo (je) objavljen na spletnih straneh MKGP in ARSKTRP.</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K</w:t>
            </w:r>
            <w:r w:rsidRPr="00CA3D14">
              <w:t xml:space="preserve">ako je tukaj z analizo krme narejeno v </w:t>
            </w:r>
            <w:proofErr w:type="spellStart"/>
            <w:r w:rsidRPr="00CA3D14">
              <w:t>tujuini</w:t>
            </w:r>
            <w:proofErr w:type="spellEnd"/>
            <w:r w:rsidRPr="00CA3D14">
              <w:t>?</w:t>
            </w:r>
          </w:p>
        </w:tc>
      </w:tr>
      <w:tr w:rsidR="002540D5" w:rsidRPr="00CA3D14" w:rsidTr="008A3509">
        <w:trPr>
          <w:trHeight w:val="300"/>
        </w:trPr>
        <w:tc>
          <w:tcPr>
            <w:tcW w:w="1423" w:type="dxa"/>
            <w:shd w:val="clear" w:color="auto" w:fill="auto"/>
          </w:tcPr>
          <w:p w:rsidR="002540D5" w:rsidRPr="00CA3D14" w:rsidRDefault="002540D5" w:rsidP="00AB04F3"/>
        </w:tc>
        <w:tc>
          <w:tcPr>
            <w:tcW w:w="9209" w:type="dxa"/>
          </w:tcPr>
          <w:p w:rsidR="002540D5" w:rsidRPr="00CA3D14" w:rsidRDefault="002540D5" w:rsidP="002540D5">
            <w:r w:rsidRPr="00CA3D14">
              <w:t>Analizo krme lahko izdelajo laboratoriji zunaj RS. V tem primeru mora biti izvid analize krme dostopen tudi v slovenskem jeziku. V slovenski jezik je lahko preveden celoten izvid analize krme, ali pa so na originalen izvid pripisani prevodi vrste analizirane krme in obveznih določitev. Ni potreben uraden prepoved.</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K</w:t>
            </w:r>
            <w:r w:rsidRPr="00CA3D14">
              <w:t>ako je v primeru analiz tal iz tujine. sploh pri ukrepu precizno kmetijstvo obstajajo aplikacije za karte gnojenja ki uporabljajo analize iz tujine?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Do sedaj so analize tal lahko izdelali tudi tuji laboratoriji.</w:t>
            </w:r>
            <w:r w:rsidRPr="00CA3D14">
              <w:br/>
              <w:t>Z uveljavitvijo spremembe Zakona o kmetijstvu (Uradni list RS, št. 123/21; https://www.uradni-list.si/glasilo-uradni-list-rs/vsebina/2021-01-2628?sop=2021-01-2628) pa bodo od 1. 1. 2024 analizo tal lahko izdelali nosilci javnega pooblastila za spremljanje stanja kmetijskih tal v skladu s c28.b členom tega zakona.</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Kako je v primeru, če je kmetija vključena v KOPOP ukrep, ki ni združljiv Z EK in želi v kasnejših letih vstopiti v EK. Ali je to možno oz. kakšne so posledice?</w:t>
            </w:r>
          </w:p>
        </w:tc>
      </w:tr>
      <w:tr w:rsidR="002540D5" w:rsidRPr="00CA3D14" w:rsidTr="008A3509">
        <w:trPr>
          <w:trHeight w:val="300"/>
        </w:trPr>
        <w:tc>
          <w:tcPr>
            <w:tcW w:w="1423" w:type="dxa"/>
            <w:shd w:val="clear" w:color="auto" w:fill="auto"/>
          </w:tcPr>
          <w:p w:rsidR="002540D5" w:rsidRPr="00CA3D14" w:rsidRDefault="002540D5" w:rsidP="00AB04F3"/>
        </w:tc>
        <w:tc>
          <w:tcPr>
            <w:tcW w:w="9209" w:type="dxa"/>
          </w:tcPr>
          <w:p w:rsidR="002540D5" w:rsidRPr="00CA3D14" w:rsidRDefault="002540D5" w:rsidP="002540D5">
            <w:r w:rsidRPr="00CA3D14">
              <w:t>Če upravičenci v obdobju trajanja obveznosti izvajanja intervencij KOPOP vstopijo v intervencijo EK, obveznost izvajanja operacij intervencij KOPOP, pri katerih kombinacija med operacijami intervencij KOPOP in EK ni dovoljena, preneha brez dolžnosti vračila že prejetih sredstev za izvajanje teh operacij.</w:t>
            </w:r>
            <w:r w:rsidRPr="00CA3D14">
              <w:br/>
              <w:t>Velja pa tudi, da se obveznost izvajanja operacij intervencije KOPOP - Naravni viri lahko zamenja z intervencijo EK v katerem koli letu trajanja obveznosti.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Kako pa je potem z plačili prilagojenih obveznosti? Je plačilo po starem ali po novem?</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Plačilo je po novem.</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Kako vplivajo spremembe površin v 2023 (več kot 10 % zmanjšanje, povečanje več kot 2 ha) posameznih GERK-ov v KOPOP ali EK  na prilagoditev oziroma prenehanje?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Če se upravičenec odloči za prenehanje obveznosti za ukrepa KOPOP oz. EK iz PRP 2014-2020, povečanje in zmanjšanje površin ni relevantno.</w:t>
            </w:r>
            <w:r w:rsidRPr="00CA3D14">
              <w:br/>
              <w:t>Če pa se upravičenec odloči za prilagoditev obveznosti, površine lahko zmanjša do vstopnega praga (to je do 0,3 ha), poveča pa lahko neomejeno.</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Kako, da je vaših kombinacijah EK IN KOPOP, predvidena kombinacija EK in VODNI VIRI. Je to napaka? ali je pa isto, kot ste omenili ozelenitvah in </w:t>
            </w:r>
            <w:proofErr w:type="spellStart"/>
            <w:r w:rsidRPr="00CA3D14">
              <w:t>nakdadnih</w:t>
            </w:r>
            <w:proofErr w:type="spellEnd"/>
            <w:r w:rsidRPr="00CA3D14">
              <w:t xml:space="preserve"> posevkih, da se lahko </w:t>
            </w:r>
            <w:proofErr w:type="spellStart"/>
            <w:r w:rsidRPr="00CA3D14">
              <w:t>uveljavla</w:t>
            </w:r>
            <w:proofErr w:type="spellEnd"/>
            <w:r w:rsidRPr="00CA3D14">
              <w:t xml:space="preserve"> plačilo, vendar do izplačila ne pride?  (</w:t>
            </w:r>
            <w:proofErr w:type="spellStart"/>
            <w:r w:rsidRPr="00CA3D14">
              <w:t>čevprav</w:t>
            </w:r>
            <w:proofErr w:type="spellEnd"/>
            <w:r w:rsidRPr="00CA3D14">
              <w:t xml:space="preserve"> je v tabeli kombinacij VODNI VIRI - OEZELNITEV/NAKDADNI POSEVKI --- N )   Pri vodnih virih in </w:t>
            </w:r>
            <w:proofErr w:type="spellStart"/>
            <w:r w:rsidRPr="00CA3D14">
              <w:t>ek</w:t>
            </w:r>
            <w:proofErr w:type="spellEnd"/>
            <w:r w:rsidRPr="00CA3D14">
              <w:t>-u pa ni  (N-ja).. torej ekološki kmet lahko uveljavlja- še plačilo za vodne vire?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Kombinacija EK in VOD je mogoča, vendar ob znižanem plačilu za operacijo VOD v tej kombinaciji.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Kakšno je dovoljeno nihanje med leti v številu živali?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Število živali se lahko v času trajanja obveznosti zmanjša, vendar na letni ravni (pomeni v povprečju) ne sme pasti pod vstopni prag (npr. pri kravah molznicah ali govejih pitancih pod 10). </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K</w:t>
            </w:r>
            <w:r w:rsidRPr="00CA3D14">
              <w:t xml:space="preserve">ar se tiče vklopa v IPP in IPZ se mora vključiti, saj veliko </w:t>
            </w:r>
            <w:proofErr w:type="spellStart"/>
            <w:r w:rsidRPr="00CA3D14">
              <w:t>kemtij</w:t>
            </w:r>
            <w:proofErr w:type="spellEnd"/>
            <w:r w:rsidRPr="00CA3D14">
              <w:t xml:space="preserve"> menja GERK zelenjava poljedelstvo, zahteva pa je, da so v operacijo vključeni vsi </w:t>
            </w:r>
            <w:proofErr w:type="spellStart"/>
            <w:r w:rsidRPr="00CA3D14">
              <w:t>GERKi</w:t>
            </w:r>
            <w:proofErr w:type="spellEnd"/>
            <w:r w:rsidRPr="00CA3D14">
              <w:t xml:space="preserve">. Sicer pa tudi SN piše, da je to možno. </w:t>
            </w:r>
            <w:proofErr w:type="spellStart"/>
            <w:r w:rsidRPr="00CA3D14">
              <w:t>POtem</w:t>
            </w:r>
            <w:proofErr w:type="spellEnd"/>
            <w:r w:rsidRPr="00CA3D14">
              <w:t xml:space="preserve"> se površine iz leta v leto zamenjujejo. če ni vključena v oboje, potem to seveda ne bo šlo.</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Z uredbo je določeno, da je zamenjava IPP z IPZ in obratno mogoča. Velja le za poljedelstvo in zelenjadarstvo, sicer ne (npr. ne iz sadja v vinograd ali obratno). </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Katere KOPOP in SOPO lahko  uveljavljajo na njivah na VVOI,? Njive se delno na VVOI delno izven, kako bo šlo na teh njivah?</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Pri KOPOP: Ohranjanje kolobarja - razen 3. stopnja, Integrirana pridelava poljščin, Integrirana pridelava zelenjave.</w:t>
            </w:r>
            <w:r w:rsidRPr="00CA3D14">
              <w:br/>
            </w:r>
            <w:r w:rsidRPr="00CA3D14">
              <w:br/>
              <w:t xml:space="preserve">Pri SOPO: INP 8.07 </w:t>
            </w:r>
            <w:proofErr w:type="spellStart"/>
            <w:r w:rsidRPr="00CA3D14">
              <w:t>Konzervirajoča</w:t>
            </w:r>
            <w:proofErr w:type="spellEnd"/>
            <w:r w:rsidRPr="00CA3D14">
              <w:t xml:space="preserve"> obdelava (KONZ), INP 8.08 Neposejana tla za poljskega škrjanca (POŠK) in INP 8.09 Varstvo gnezd pribe (VGP).</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Kateri kontrolni sloji se bodo upoštevali za ukrep vodni viri?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pPr>
              <w:spacing w:after="160"/>
            </w:pPr>
            <w:r w:rsidRPr="00CA3D14">
              <w:t xml:space="preserve">Za </w:t>
            </w:r>
            <w:proofErr w:type="spellStart"/>
            <w:r w:rsidRPr="00CA3D14">
              <w:t>operacijoVodni</w:t>
            </w:r>
            <w:proofErr w:type="spellEnd"/>
            <w:r w:rsidRPr="00CA3D14">
              <w:t xml:space="preserve"> viri se bodo upoštevali naslednji sloji:</w:t>
            </w:r>
            <w:r w:rsidRPr="00CA3D14">
              <w:br/>
              <w:t>1. evidenca prispevnih območij vodnih teles površinskih voda, kjer je glede na podatke državnega monitoringa stanja voda za obdobje 2014–2019 ugotovljeno zmerno ali slabo ekološko stanje površinskih voda glede na obremenitve s hranili (evidenca VT_POV_HRA);</w:t>
            </w:r>
            <w:r w:rsidRPr="00CA3D14">
              <w:br/>
              <w:t xml:space="preserve">2. evidenca prispevnih območij vodnih teles površinskih voda, kjer je glede na podatke državnega monitoringa stanja voda za obdobje 2014–2019 ugotovljeno zmerno ekološko stanje zaradi preseganja </w:t>
            </w:r>
            <w:proofErr w:type="spellStart"/>
            <w:r w:rsidRPr="00CA3D14">
              <w:t>okoljskih</w:t>
            </w:r>
            <w:proofErr w:type="spellEnd"/>
            <w:r w:rsidRPr="00CA3D14">
              <w:t xml:space="preserve"> standardov kakovosti za fitofarmacevtska sredstva (evidenca VT_POV_FFS);</w:t>
            </w:r>
            <w:r w:rsidRPr="00CA3D14">
              <w:br/>
              <w:t xml:space="preserve">3. evidenca prispevnih območij vodnih teles podzemnih voda, kjer je glede na podatke državnega monitoringa stanja voda za obdobje 2014–2019 ugotovljeno slabo kemijsko stanje zaradi preseganja </w:t>
            </w:r>
            <w:proofErr w:type="spellStart"/>
            <w:r w:rsidRPr="00CA3D14">
              <w:t>okoljskega</w:t>
            </w:r>
            <w:proofErr w:type="spellEnd"/>
            <w:r w:rsidRPr="00CA3D14">
              <w:t xml:space="preserve"> standarda kakovosti za nitrat (evidenca VT_POD_NIT).</w:t>
            </w:r>
            <w:r w:rsidRPr="00CA3D14">
              <w:br/>
              <w:t>Uporablja se tudi evidenca najožjih vodovarstvenih območij (evidenca VVO_I_DR), ker se operacija Vodni viri na teh območjih ne more izvajati.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Kdaj bodo izdana tehnološka navodila? v tem primeru, če moremo že ob oddaji vloge imeti </w:t>
            </w:r>
            <w:proofErr w:type="spellStart"/>
            <w:r w:rsidRPr="00CA3D14">
              <w:t>analizetal</w:t>
            </w:r>
            <w:proofErr w:type="spellEnd"/>
            <w:r w:rsidRPr="00CA3D14">
              <w:t>, jih bodo 1.7. še morali še enkrat narediti? Če bo to držalo, je boljše, da strankam povemo, da se naj vključijo pač drugo leto? (da ne bodo imeli stroškov morebitnih dvojnih analiz v enem letu)</w:t>
            </w:r>
          </w:p>
        </w:tc>
      </w:tr>
      <w:tr w:rsidR="002540D5" w:rsidRPr="00CA3D14" w:rsidTr="008A3509">
        <w:trPr>
          <w:trHeight w:val="300"/>
        </w:trPr>
        <w:tc>
          <w:tcPr>
            <w:tcW w:w="1423" w:type="dxa"/>
            <w:shd w:val="clear" w:color="auto" w:fill="auto"/>
          </w:tcPr>
          <w:p w:rsidR="002540D5" w:rsidRPr="00CA3D14" w:rsidRDefault="002540D5" w:rsidP="00AB04F3"/>
        </w:tc>
        <w:tc>
          <w:tcPr>
            <w:tcW w:w="9209" w:type="dxa"/>
          </w:tcPr>
          <w:p w:rsidR="002540D5" w:rsidRPr="00CA3D14" w:rsidRDefault="002540D5" w:rsidP="002540D5">
            <w:r w:rsidRPr="00CA3D14">
              <w:t>Tehnološka navodila za IP bodo objavljena najpozneje ob sprejemu uredbe KOPOP.</w:t>
            </w:r>
            <w:r w:rsidRPr="00CA3D14">
              <w:br/>
              <w:t>Tako je tudi bilo, v Uradnem listu so bila objavljena pred sprejemom uredbe. Gre za Uradni list RS, št. 31/23 (http://www.pisrs.si/Pis.web/pregledPredpisa?id=PRAV14922).</w:t>
            </w:r>
            <w:r w:rsidRPr="00CA3D14">
              <w:br/>
              <w:t>Z uredbo niso določene datumske omejitve veljavnosti analiz tal. Določeno je, da je veljavnost analize tal pet let, gnojilni načrt pa se izdela na podlagi veljavne analize tal. Dvojnih stroškov tako ne bo.</w:t>
            </w:r>
            <w:r w:rsidRPr="00CA3D14">
              <w:br/>
              <w:t>Izjema glede veljavnosti analiz tal velja za integrirano pridelavo, kjer je treba analize tal izvajati v skladu s tehnološkimi navodili za integrirano pridelavo. To pomeni, da morajo biti analize tal vedno mlajše od 5 let (obvezno izvajanje analiz tal vsakih 5 let). Pri IPZ je pa morajo biti analize tal vedno mlajše od štirih let, pri IPZ v zaščitenih prostorih pa je treba analize tal izvajati vsaki dve leti.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Kdaj bodo luč sveta ugledala tehnološka navodila za IP? Hvala.</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Tehnološka navodila za IP bodo objavljena najpozneje ob sprejemu uredbe KOPOP.</w:t>
            </w:r>
            <w:r w:rsidRPr="00CA3D14">
              <w:br/>
              <w:t xml:space="preserve">Tako je tudi bilo, v Uradnem listu so bila objavljena pred sprejemom uredbe. Gre za Uradni list </w:t>
            </w:r>
            <w:proofErr w:type="spellStart"/>
            <w:r w:rsidRPr="00CA3D14">
              <w:t>RS,št</w:t>
            </w:r>
            <w:proofErr w:type="spellEnd"/>
            <w:r w:rsidRPr="00CA3D14">
              <w:t xml:space="preserve">. </w:t>
            </w:r>
            <w:r w:rsidRPr="00CA3D14">
              <w:lastRenderedPageBreak/>
              <w:t>31/23 (http://www.pisrs.si/Pis.web/pregledPredpisa?id=PRAV14922), uredba pa je bila objavljena v Uradnem listu 34/23 (http://www.pisrs.si/Pis.web/pregledPredpisa?id=URED8751).</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2540D5" w:rsidRDefault="002540D5" w:rsidP="002540D5">
            <w:pPr>
              <w:pStyle w:val="Odstavekseznama"/>
              <w:numPr>
                <w:ilvl w:val="0"/>
                <w:numId w:val="1"/>
              </w:numPr>
              <w:rPr>
                <w:shd w:val="clear" w:color="auto" w:fill="DEEAF6" w:themeFill="accent1" w:themeFillTint="33"/>
              </w:rPr>
            </w:pPr>
          </w:p>
        </w:tc>
        <w:tc>
          <w:tcPr>
            <w:tcW w:w="9209" w:type="dxa"/>
            <w:shd w:val="clear" w:color="auto" w:fill="BDD6EE" w:themeFill="accent1" w:themeFillTint="66"/>
          </w:tcPr>
          <w:p w:rsidR="002540D5" w:rsidRPr="00CA3D14" w:rsidRDefault="002540D5" w:rsidP="002540D5">
            <w:r w:rsidRPr="00362A60">
              <w:rPr>
                <w:shd w:val="clear" w:color="auto" w:fill="DEEAF6" w:themeFill="accent1" w:themeFillTint="33"/>
              </w:rPr>
              <w:t>Kdaj bomo dobili podatke za posamezne KMG, ki se jim obveznost z letom 2022 ni zaključila?</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ARSKTRP bo posredovala sezname (jih je že).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2540D5" w:rsidRDefault="002540D5" w:rsidP="002540D5">
            <w:pPr>
              <w:pStyle w:val="Odstavekseznama"/>
              <w:numPr>
                <w:ilvl w:val="0"/>
                <w:numId w:val="1"/>
              </w:numPr>
              <w:rPr>
                <w:shd w:val="clear" w:color="auto" w:fill="DEEAF6" w:themeFill="accent1" w:themeFillTint="33"/>
              </w:rPr>
            </w:pPr>
          </w:p>
        </w:tc>
        <w:tc>
          <w:tcPr>
            <w:tcW w:w="9209" w:type="dxa"/>
            <w:shd w:val="clear" w:color="auto" w:fill="DEEAF6" w:themeFill="accent1" w:themeFillTint="33"/>
          </w:tcPr>
          <w:p w:rsidR="002540D5" w:rsidRPr="00CA3D14" w:rsidRDefault="002540D5" w:rsidP="002540D5">
            <w:r w:rsidRPr="00362A60">
              <w:rPr>
                <w:shd w:val="clear" w:color="auto" w:fill="DEEAF6" w:themeFill="accent1" w:themeFillTint="33"/>
              </w:rPr>
              <w:t xml:space="preserve">Kdaj </w:t>
            </w:r>
            <w:r w:rsidRPr="00CA3D14">
              <w:t>mora imeti izdelano analizo krme, če vstopi v intervencijo? Jeseni?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V letu vstopa oz. v tekočem letu oddaje zahtevka. Enako velja tudi za izdelavo izračuna krmnega obroka.</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Kdaj pa bodo tehnološka navodila?</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Pred objavo uredbe (so že objavljena in sprejeta; http://www.pisrs.si/Pis.web/pregledPredpisa?id=PRAV14922).</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Kdo lahko opravi analizo zemlje za KOPOP - tudi tuji </w:t>
            </w:r>
            <w:proofErr w:type="spellStart"/>
            <w:r w:rsidRPr="00CA3D14">
              <w:t>labaratoriji</w:t>
            </w:r>
            <w:proofErr w:type="spellEnd"/>
            <w:r w:rsidRPr="00CA3D14">
              <w:t xml:space="preserve"> ?</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Do sedaj so analizo tal lahko izdelali tudi tuji laboratoriji.</w:t>
            </w:r>
            <w:r w:rsidRPr="00CA3D14">
              <w:br/>
              <w:t>Z uveljavitvijo spremembe Zakona o kmetijstvu (Uradni list RS, št. 123/21) pa bodo analizo tal od 1. 1. 2024 lahko izdelali nosilci javnega pooblastila za spremljanje stanja kmetijskih tal v skladu s c28.b členom tega zakona.</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Kmet bo letos vzel </w:t>
            </w:r>
            <w:proofErr w:type="spellStart"/>
            <w:r w:rsidRPr="00CA3D14">
              <w:t>analite</w:t>
            </w:r>
            <w:proofErr w:type="spellEnd"/>
            <w:r w:rsidRPr="00CA3D14">
              <w:t xml:space="preserve"> tal za vse površine pred 1.7. (na novo se bo </w:t>
            </w:r>
            <w:proofErr w:type="spellStart"/>
            <w:r w:rsidRPr="00CA3D14">
              <w:t>vklučil</w:t>
            </w:r>
            <w:proofErr w:type="spellEnd"/>
            <w:r w:rsidRPr="00CA3D14">
              <w:t xml:space="preserve"> v kolobar), izdelani bodo 5 letni gnojilni načrti. Ali bodo analize tal v letih 2024-2027 še vedno veljavne ali bo moral narediti nove, ker so bile izdelane pred 1.7.2023? ker to bo za kmeta velik strošek.</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Da, analize bodo še vedno veljavne. Z uredbo (http://www.pisrs.si/Pis.web/pregledPredpisa?id=URED8751) niso določene datumske omejitve veljavnosti analiz tal. Določeno je, da je veljavnost analize tal pet let, gnojilni načrt pa se izdela na podlagi veljavne analize tal.</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Kmetija bo vstopila z vinogradi v KOPOP in gnojila z mineralnimi gnojili. Obdelujejo tudi njivske površine, katere ne bodo v KOPOP-u; ali za te njivske površine tudi potrebujejo AT in GN?</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Ne, za njivske površine ne potrebujejo analize tal in gnojilnega načrta.</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t>K</w:t>
            </w:r>
            <w:r w:rsidRPr="00CA3D14">
              <w:t xml:space="preserve">metija ima polovico površin v vod - gredo v VODNE VIRE.  Ostalih 10 ha ima na </w:t>
            </w:r>
            <w:proofErr w:type="spellStart"/>
            <w:r w:rsidRPr="00CA3D14">
              <w:t>nevodnih</w:t>
            </w:r>
            <w:proofErr w:type="spellEnd"/>
            <w:r w:rsidRPr="00CA3D14">
              <w:t xml:space="preserve"> površinah - in vzamejo KOLOBAR 3.  Je možno?</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Da.</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Kmetija je v 2016 vstopila v POZ (KOL, NMIN, POD, ZEL), V letu 2022 je površine pod KOL, NMIN in POD povečala za več kot 20 %. V katere KOPOP ukrepe lahko vstopi v 2023 oziroma ali lahko v 2023 vstopi v KOL ter IPP in IPZ?</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Kmetiji, ki je v operacijo POZ iz PRP 2014-2020 vstopila v letu 2016, se je petletna obveznost zaključila z letom 2020. V letih 20121 in 2022 je to obveznost podaljšala in jo v letu 2022 celo povečala. Povečanje površin ne igra nobene vloge, ker se je obveznost izvajanja operacije POZ z letom 2022 zaključila. Ta kmetija v letu 2023 lahko vstopi v operacijo KOL, IPP ali IPZ.</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Kmetija je vstopila leta 2019 v EK z vsemi površinami. Letos bo zmanjšala površine za 20%. Če sem vas prav razumela, to pomeni da ne bo mogel prilagoditi obveznosti, na novo pa tudi ne bo mogel vstopiti v EK?</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To je veljalo v času predstavitve (16. 2. 2023). Uredba zdaj določa, da se pri prilagoditvi obveznosti površine v letu 2023 lahko zmanjšajo do vstopnega praga (kmetija mora imeti po zmanjšanju </w:t>
            </w:r>
            <w:r w:rsidRPr="00CA3D14">
              <w:lastRenderedPageBreak/>
              <w:t>najmanj 0,3 ha površin, vključenih v operacijo/ intervencijo, ki jo bo izvajal v skladu z novim pravnim okvirjem).</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Kmetija se vključi samo v KOPOP</w:t>
            </w:r>
            <w:r w:rsidRPr="00CA3D14">
              <w:softHyphen/>
              <w:t>-PS GOV,  ali mora voditi tudi evidence o delovnih opravilih na njivskih površinah, imeti analizo tal in opravljen gnojilni načrt</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Če se kmetija vključi samo v operacijo PS_GOV, ji analize tal in gnojilnega načrta ni treba izdelati, evidence o delovnih opravilih pa mora voditi.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Kmetija, ki se je v letu 2020 vključila v vodne vire in se ne bo odločila nadaljevati z obveznostmi se z temi istimi površinami ne bo mogla vključiti v vodne vire s temi površinami?</w:t>
            </w:r>
            <w:r w:rsidRPr="00CA3D14">
              <w:br/>
            </w:r>
            <w:r w:rsidRPr="00CA3D14">
              <w:br/>
              <w:t>Kaj pa če se odloči nadaljevati z temi obveznostmi, ali bo lahko stare vodne vire kombinirala z novim kolobarjem?</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Kmetiji, ki se je v operacijo Vodni viri ukrepa KOPOP iz PRP 2014-2020 vključila v letu 2020, se 5-letna obveznost zaključi z letom 2024. Če se ta kmetija v letu 2023 odloči za prenehanje obveznosti (se ne strinja s prilagoditvijo obveznosti operacije Vodni viri na SN 2023-2027), ji ta obveznost preneha. V letu 2023 ne more na novo vstopiti v operacijo Vodni viri iz SN 2023-2027, lahko pa bo to storila v letu 2024.</w:t>
            </w:r>
            <w:r w:rsidRPr="00CA3D14">
              <w:br/>
              <w:t>Če se kmetija odloči za nadaljevanje izvajanja obveznosti (to je prilagoditev obveznosti na SN 2023-2027), potem bo morala operacijo Vodni viri nadaljevati pod novimi pogoji in z zahtevami, ki jih določa SN 2023-2027. To pomeni, da stare operacije Vodni viri ni več. Na površinah, na katerih bo kmetija izvajala operacijo Vodni viri po novem, bo lahko vstopila tudi v operacijo Ohranjanje kolobarja, pri čemer bo plačilo za Ohranjanje kolobarja v tej kombinaciji znižano in bo znašalo 25,80 € na ha letno.</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Kmetije, ki so na podlagi naših nasvetov že naredile analize tal, ker smo jim to  svetovali in jim sedaj naj povemo, da niso veljavne, ker so narejene pred 1.7 2023 in bodo imele te stroške še enkrat, kaj mislite </w:t>
            </w:r>
            <w:proofErr w:type="spellStart"/>
            <w:r w:rsidRPr="00CA3D14">
              <w:t>kašnen</w:t>
            </w:r>
            <w:proofErr w:type="spellEnd"/>
            <w:r w:rsidRPr="00CA3D14">
              <w:t xml:space="preserve"> prijeten pogovor bomo imeli z njimi.... Vedno je bila analiza tal veljavna 5 let.</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Z uredbo (http://www.pisrs.si/Pis.web/pregledPredpisa?id=URED8751) niso določene datumske omejitve veljavnosti analiz tal. Določeno je, da je veljavnost analize tal pet let, gnojilni načrt pa se izdela na podlagi veljavne analize tal.</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Kmetijska mehanizacija za precizno gnojenje in škropljenje  je dražja in več kmetij skupaj se odloči za nakup te kmetijske mehanizacije in jo bodo uporabljale na svojih kmetijskih gospodarstvih. Na kakšen način bodo dokazovale, da na svojih kmetijskih gospodarstvih uporabljajo mehanizacija za precizno gnojenje in škropljenje.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S shranjenim računom izvajalca za opravljeno strojno storitev ali shranjeno izjavo izvajalca, kadar se strojna storitev opravlja kot sosedska pomoč v skladu z zakonom, ki ureja preprečevanje dela in zaposlovanja na črno.</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Kmetje že sprašujejo katero kmetijsko mehanizacijo kupiti za ukrep precizno gnojenje in škropljenje. Zato bi rabili čimprej podatke katera mehanizacija pride v poštev.</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Minimalna zahteva je povezava mehanizacije z GPS sistemom.</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KOL: če prav zastopim kmetija na </w:t>
            </w:r>
            <w:proofErr w:type="spellStart"/>
            <w:r w:rsidRPr="00CA3D14">
              <w:t>GErku</w:t>
            </w:r>
            <w:proofErr w:type="spellEnd"/>
            <w:r w:rsidRPr="00CA3D14">
              <w:t xml:space="preserve"> A imela operacijo VOD, glavni posevek bo ječmen. po glavnem posevku bo posejala </w:t>
            </w:r>
            <w:proofErr w:type="spellStart"/>
            <w:r w:rsidRPr="00CA3D14">
              <w:t>nadnadniosevek</w:t>
            </w:r>
            <w:proofErr w:type="spellEnd"/>
            <w:r w:rsidRPr="00CA3D14">
              <w:t xml:space="preserve"> in uveljavljala plačilo SOPO potem v tem letu za GERK A ni upravičena za plačilo operacije VOD</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Operacija VOD in shema NPP nista združljivi na isti površini. Torej, če bo nosilec KMG vključen v operacijo VOD ne more na zbirni vlogi uveljavljati zahtevek za NPP. </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Komentar: V Slovenji je slovenski jezik uradni jezik, zato morajo biti analize in vse ostalo v Slovenskem jeziku ali pa prevedene v Slovenski jezik.</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To je urejeno z uredbo (http://www.pisrs.si/Pis.web/pregledPredpisa?id=URED8751).</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Koruza v kolobarju pri VODNI VIRI, kolikokrat, zaporedoma,...?</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Za operacijo Vodne viri pogostost koruze v kolobarju za petletno obdobje ni predpisana, treba pa ja upoštevati zahteve pravil o pogojenosti (DKOP 7). Glede koruze je določeno le, da se različni posevki koruze (koruza za zrnje, silažna koruza in sladka koruza) štejejo kot ena kmetijska rastlina v kolobarju.</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Mislim da bi morali upoštevati vse AT, ki so narejene v skladu z metodiko ki bo določena  za monitoring tal, če manjka organska snov se jo dodatno naredi. Ne vem zakaj bi </w:t>
            </w:r>
            <w:proofErr w:type="spellStart"/>
            <w:r w:rsidRPr="00CA3D14">
              <w:t>moralido</w:t>
            </w:r>
            <w:proofErr w:type="spellEnd"/>
            <w:r w:rsidRPr="00CA3D14">
              <w:t xml:space="preserve"> sedaj </w:t>
            </w:r>
            <w:proofErr w:type="spellStart"/>
            <w:r w:rsidRPr="00CA3D14">
              <w:t>strokvne</w:t>
            </w:r>
            <w:proofErr w:type="spellEnd"/>
            <w:r w:rsidRPr="00CA3D14">
              <w:t xml:space="preserve"> analize tal razveljaviti. To je krivično do kmetov, ki so to do sedaj izvedli AT in tudi gnojili bolj strokovno pravilno.</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Z uredbo (http://www.pisrs.si/Pis.web/pregledPredpisa?id=URED8751) niso določene datumske omejitve veljavnosti analiz tal. Določeno je, da je veljavnost analize tal pet let, gnojilni načrt pa se izdela na podlagi veljavne analize tal.</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Mislim da je pri razpravi kompost bilo spregledano sledeče dejstvo, PODAJAM zapis iz STRATEŠKEGA NAČRTA - </w:t>
            </w:r>
            <w:proofErr w:type="spellStart"/>
            <w:r w:rsidRPr="00CA3D14">
              <w:t>digestata</w:t>
            </w:r>
            <w:proofErr w:type="spellEnd"/>
            <w:r w:rsidRPr="00CA3D14">
              <w:t xml:space="preserve"> in komposta iz predpisa, </w:t>
            </w:r>
            <w:r w:rsidRPr="00CA3D14">
              <w:br/>
              <w:t xml:space="preserve">ki ureja predelavo biološko razgradljivih odpadkov in uporabo komposta ali </w:t>
            </w:r>
            <w:proofErr w:type="spellStart"/>
            <w:r w:rsidRPr="00CA3D14">
              <w:t>digestata</w:t>
            </w:r>
            <w:proofErr w:type="spellEnd"/>
            <w:r w:rsidRPr="00CA3D14">
              <w:t>...tako gre najbrž za tovrstne materiale in ne za komposte, ki ne spadajo v to kategorijo in se prodajajo splošno na trgu. Skratka če pogledate zakonodajo gre za komposte 1. kakovostnega razreda, 2. kakovostni razred pa je itak že prepovedan za vnos na kmetijskih površinah.</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Za KOPOP je uporaba </w:t>
            </w:r>
            <w:proofErr w:type="spellStart"/>
            <w:r w:rsidRPr="00CA3D14">
              <w:t>digestata</w:t>
            </w:r>
            <w:proofErr w:type="spellEnd"/>
            <w:r w:rsidRPr="00CA3D14">
              <w:t xml:space="preserve"> oz. komposta standard. Velja prepoved, kot je določena s SN 2023-2027 oz. sprejeto uredbo (http://www.pisrs.si/Pis.web/pregledPredpisa?id=URED8751), velja tudi prepoved uporabe </w:t>
            </w:r>
            <w:proofErr w:type="spellStart"/>
            <w:r w:rsidRPr="00CA3D14">
              <w:t>digestata</w:t>
            </w:r>
            <w:proofErr w:type="spellEnd"/>
            <w:r w:rsidRPr="00CA3D14">
              <w:t xml:space="preserve"> in komposta 1. kakovostnega razreda.</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mislim, da bodo e-evidence z letom 24 pritisk na starejše in se tudi zaradi tega marsikatera kmetija ne bo vključila v KOPOP. Dopustiti bi morali izbiro - e-evidence ali klasične v papirni obliki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Za leto 2024 bo v skladu z Zakonom o kmetijstvu (http://pisrs.si/Pis.web/pregledPredpisa?id=ZAKO4716) mogoče poleg e-evidenc voditi tudi evidence na predpisanih obrazcih, kot je veljalo v programskem obdobju 2014-2020. Od 1. 1. 2025 naprej pa bodo veljavne le e-evidence.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mislim, da je potrebno rešiti kmetije, ki imajo 50 % na vodnih in 50 % </w:t>
            </w:r>
            <w:proofErr w:type="spellStart"/>
            <w:r w:rsidRPr="00CA3D14">
              <w:t>nevodnih</w:t>
            </w:r>
            <w:proofErr w:type="spellEnd"/>
            <w:r w:rsidRPr="00CA3D14">
              <w:t xml:space="preserve"> površinah. tu je potrebno narediti izjemo pri uporabi kolobarjev. Da lahko gredo v VODNE VIRE (KOLOBAR 1 ALI 2 ). ; TER MOŽNOST  da na preostalih ne vodnih površinah izberejo kolobar - ki želijo (npr. KOLOBAR 3)</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Kmetija se lahko vključi samo v eno stopnjo kolobarja, ki jo izvaja pet let, kolikor traja obveznost intervencij KOPOP.</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Mislim, da se tehnološka navodila za integrirano pridelavo vseh vrst jagodičja že  pripravljajo v okviru tehnoloških navodil za integrirano pridelavo sadja.</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Tehnološka navodila za integrirano pridelavo sadja vključujejo tudi jagode in jagodičje. So v prilogah Pravilnika o integrirani pridelavi poljščin, zelenjave, hmelja, sadja in oljk ter grozdja (Uradni list RS, št. 31/23; http://www.pisrs.si/Pis.web/pregledPredpisa?id=PRAV14922).</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Morajo biti analize narejene za vsak </w:t>
            </w:r>
            <w:proofErr w:type="spellStart"/>
            <w:r w:rsidRPr="00CA3D14">
              <w:t>gerk</w:t>
            </w:r>
            <w:proofErr w:type="spellEnd"/>
            <w:r w:rsidRPr="00CA3D14">
              <w:t xml:space="preserve"> posebej ali se lahko združujejo na način kot je bilo to dovoljeno v prejšnjem obdobju.</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Velja enako kot v programskem obdobju 2014-2020. Pri vzorčenju kmetijskih zemljišč pa je treba upoštevati Pravilnik o spremljanju stanja kmetijskih tal </w:t>
            </w:r>
            <w:r w:rsidRPr="00CA3D14">
              <w:lastRenderedPageBreak/>
              <w:t>(http://www.pisrs.si/Pis.web/pregledPredpisa?id=PRAV14232). V zvezi s tem so pripravljena tudi navodila, ki so objavljena na spletnih straneh MKGP in ARSKTRP.</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Na 5 ha imaš vodne vire kombinirane z kolobarjem 2, na drugih 5 ha na isti kmetiji, ki pa so izven vodnih virov bi imel kolobar 3? Ali lahko na isti kmetiji na različnih GERK-ih uveljavljaš dve različni vrsti kolobarja? O tem se pogovarjamo...</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Ne, kmetija se lahko vključi samo v eno stopnjo kolobarja, ki jo izvaja pet let, kolikor traja obveznost intervencij KOPOP.</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Na kakšen način se bodo razpisala usposabljanja KOPOP. Spet JN (strel v koleno) ali "</w:t>
            </w:r>
            <w:proofErr w:type="spellStart"/>
            <w:r w:rsidRPr="00CA3D14">
              <w:t>pool</w:t>
            </w:r>
            <w:proofErr w:type="spellEnd"/>
            <w:r w:rsidRPr="00CA3D14">
              <w:t>" primernih tem?</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MKGP bo objavilo javni razpis za izbor izvajalcev za izvedbo različnih načinov in oblik izmenjave znanj in prenosa informacij o teh temah (usposabljanja, demonstracij ipd.). Po končanem izboru izvajalcev bo MKGP pripravilo »katalog izmenjave znanj in prenosa informacij«, v katerem bodo zbrane teme, predavatelji, okvirne lokacije in termini izvedbe. Upravičenci si bodo iz tega kataloga izbirali teme in obseg usposabljanj, katere pri svojem delovanju potrebujejo. Poudarek pri določanju tem bo namenjen predvsem </w:t>
            </w:r>
            <w:proofErr w:type="spellStart"/>
            <w:r w:rsidRPr="00CA3D14">
              <w:t>okoljskim</w:t>
            </w:r>
            <w:proofErr w:type="spellEnd"/>
            <w:r w:rsidRPr="00CA3D14">
              <w:t xml:space="preserve"> in podnebnim vsebinam oz. vsebinam, ki naslavljajo tovrstno problematiko. Javni razpisi se bodo periodično ponavljali z namenom, da bo v katalogu zagotovljena aktualnost tematik usposabljanj.</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nadstandard ne pomeni, da izbrišemo najbolj </w:t>
            </w:r>
            <w:proofErr w:type="spellStart"/>
            <w:r w:rsidRPr="00CA3D14">
              <w:t>pirmerno</w:t>
            </w:r>
            <w:proofErr w:type="spellEnd"/>
            <w:r w:rsidRPr="00CA3D14">
              <w:t xml:space="preserve"> najboljše organsko gnojilo za zemljo, če imamo zato zakonodajo in  analize, ki dokazujejo </w:t>
            </w:r>
            <w:proofErr w:type="spellStart"/>
            <w:r w:rsidRPr="00CA3D14">
              <w:t>okoljsko</w:t>
            </w:r>
            <w:proofErr w:type="spellEnd"/>
            <w:r w:rsidRPr="00CA3D14">
              <w:t xml:space="preserve"> sprejemljivost. Nadstandard pomeni, da ne delamo stvari, ki so </w:t>
            </w:r>
            <w:proofErr w:type="spellStart"/>
            <w:r w:rsidRPr="00CA3D14">
              <w:t>seicer</w:t>
            </w:r>
            <w:proofErr w:type="spellEnd"/>
            <w:r w:rsidRPr="00CA3D14">
              <w:t xml:space="preserve"> v zakonodaji dovoljene, v </w:t>
            </w:r>
            <w:proofErr w:type="spellStart"/>
            <w:r w:rsidRPr="00CA3D14">
              <w:t>KOPOPu</w:t>
            </w:r>
            <w:proofErr w:type="spellEnd"/>
            <w:r w:rsidRPr="00CA3D14">
              <w:t xml:space="preserve"> pa ne. Malo mešate zadeve.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Zadev nič ne mešamo! Za KOPOP je uporaba </w:t>
            </w:r>
            <w:proofErr w:type="spellStart"/>
            <w:r w:rsidRPr="00CA3D14">
              <w:t>digestata</w:t>
            </w:r>
            <w:proofErr w:type="spellEnd"/>
            <w:r w:rsidRPr="00CA3D14">
              <w:t xml:space="preserve"> oz. komposta standard. Velja prepoved, kot je določena s SN 2023-2027 oz. sprejeto uredbo (http://www.pisrs.si/Pis.web/pregledPredpisa?id=URED8751).</w:t>
            </w:r>
            <w:r w:rsidRPr="00CA3D14">
              <w:br/>
              <w:t>S tem v zvezi lahko predlagate strokovno argumentirano spremembo SN 2023-2027.</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Ne bo mogel vstopiti v nov KOPOP samo v letu 2023 ali celo programsko obdobje?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V operacije intervencij KOPOP - Podnebne spremembe (KOPOP_PS) in KOPOP - Biotska raznovrstnost in krajina (KOPOP_BK) je mogoče vstopiti skozi celotno programsko obdobje (2023-2027), razen v operaciji BK.4 Mokrotni </w:t>
            </w:r>
            <w:proofErr w:type="spellStart"/>
            <w:r w:rsidRPr="00CA3D14">
              <w:t>traviščni</w:t>
            </w:r>
            <w:proofErr w:type="spellEnd"/>
            <w:r w:rsidRPr="00CA3D14">
              <w:t xml:space="preserve"> habitati in BK.15 Ohranjanje suhih travišč ter operacijo BK.11 Obvladovanje</w:t>
            </w:r>
            <w:bookmarkStart w:id="0" w:name="_GoBack"/>
            <w:bookmarkEnd w:id="0"/>
            <w:r w:rsidRPr="00CA3D14">
              <w:t xml:space="preserve"> invazivnih tujerodnih rastlinskih vrst  na območjih iz evidence območij suhih travišč, v katere je mogoče vstopiti v letih 2024-2027.</w:t>
            </w:r>
            <w:r w:rsidRPr="00CA3D14">
              <w:br/>
              <w:t>V okviru intervencije KOPOP - Naravni viri (KOPOP_NV) je v operacije NV.2 Ohranjanje kolobarja, NV.3 Integrirana pridelava poljščin, NV.4 Integrirana pridelava zelenjave, NV.5 Integrirana pridelava hmelja, NV.6 Integrirana pridelava sadja in oljk, NV.7 Integrirana pridelava grozdja, NV.8 Uporaba biotehniških metod za obvladovanje škodljivih organizmov v trajnih nasadih, NV.9 Opustitev uporabe herbicidov v vinogradih in NV.10 Opustitev uporabe insekticidov v vinogradih mogoče vstopiti v letih 2023 in 2024, v operacije NV.1 Vodni viri, NV.11 Precizno gnojenje in škropljenje, NV.12 Senena prireja in NV.13 Varovalni pasovi ob vodotokih pa skozi celotno programsko obdobje (2023-2007).</w:t>
            </w:r>
          </w:p>
        </w:tc>
      </w:tr>
      <w:tr w:rsidR="008207EB" w:rsidRPr="00CA3D14" w:rsidTr="008A3509">
        <w:trPr>
          <w:trHeight w:val="300"/>
        </w:trPr>
        <w:tc>
          <w:tcPr>
            <w:tcW w:w="1423" w:type="dxa"/>
            <w:shd w:val="clear" w:color="auto" w:fill="auto"/>
          </w:tcPr>
          <w:p w:rsidR="008207EB" w:rsidRDefault="008207EB" w:rsidP="00AB04F3">
            <w:pPr>
              <w:pStyle w:val="Odstavekseznama"/>
            </w:pPr>
          </w:p>
          <w:p w:rsidR="008207EB" w:rsidRPr="008207EB" w:rsidRDefault="008207EB" w:rsidP="008207EB">
            <w:r>
              <w:t>Dodatno pojasnilo:</w:t>
            </w:r>
          </w:p>
        </w:tc>
        <w:tc>
          <w:tcPr>
            <w:tcW w:w="9209" w:type="dxa"/>
            <w:shd w:val="clear" w:color="auto" w:fill="C5E0B3" w:themeFill="accent6" w:themeFillTint="66"/>
          </w:tcPr>
          <w:p w:rsidR="008207EB" w:rsidRPr="008207EB" w:rsidRDefault="008207EB" w:rsidP="008207EB">
            <w:r w:rsidRPr="008207EB">
              <w:t>Dopolnitev odgovora k 1. vprašanju:</w:t>
            </w:r>
            <w:r w:rsidRPr="008207EB">
              <w:br/>
              <w:t xml:space="preserve">Ker se vprašanje v bistvu nanaša na prenos obveznosti za ukrepa KOPOP in EK iz PRP 2014-2020 v SN 2023-2027, odgovor </w:t>
            </w:r>
            <w:proofErr w:type="spellStart"/>
            <w:r w:rsidRPr="008207EB">
              <w:t>dopolnjujejmo</w:t>
            </w:r>
            <w:proofErr w:type="spellEnd"/>
            <w:r w:rsidRPr="008207EB">
              <w:t>. Če se upravičenec s prilagoditvijo obveznosti ne bo strinjal, mu bo le-ta z letom 2023 prenehala. Posledično upravičenec v istovrstne operacije iz SN 2023-2027 ne more vstopiti v letu le v 2023.</w:t>
            </w:r>
          </w:p>
          <w:p w:rsidR="008207EB" w:rsidRPr="00CA3D14" w:rsidRDefault="008207EB" w:rsidP="002540D5"/>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Ne morem mimo dejstva, da se nam </w:t>
            </w:r>
            <w:proofErr w:type="spellStart"/>
            <w:r w:rsidRPr="00CA3D14">
              <w:t>subvencijska</w:t>
            </w:r>
            <w:proofErr w:type="spellEnd"/>
            <w:r w:rsidRPr="00CA3D14">
              <w:t xml:space="preserve"> kampanja približuje in da bomo začeli z usposabljanji kmetov, vi pa še danes na veliko vprašanja odgovarjate da še boste "predebatirali"!!!</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To nikakor ne drži, najbolj odprte so tiste zadeve, ki jih izpostavljajo in ureditvi deležniki, čeprav so imeli  tekom priprave SN 2023-2027 veliko možnosti za predstavitev strokovnih argumentov in ne le nasprotovanja kot takega, kar bi prispevalo k sprejemu strokovnih odločitev. SN 2023-2027 je sprejet v obliki kot je in veljajo zahteve in pogoji, ki jih določa. T. i. odprte zadeve se nanašajo na analizo tal in gnojilne načrte, prepoved uporabe </w:t>
            </w:r>
            <w:proofErr w:type="spellStart"/>
            <w:r w:rsidRPr="00CA3D14">
              <w:t>digestata</w:t>
            </w:r>
            <w:proofErr w:type="spellEnd"/>
            <w:r w:rsidRPr="00CA3D14">
              <w:t xml:space="preserve"> in komposta ter evidence o delovnih opravilih.</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Nekateri kmetje in mladi prevzemniki so pred nakupom tehnike za </w:t>
            </w:r>
            <w:proofErr w:type="spellStart"/>
            <w:r w:rsidRPr="00CA3D14">
              <w:t>gnojenjein</w:t>
            </w:r>
            <w:proofErr w:type="spellEnd"/>
            <w:r w:rsidRPr="00CA3D14">
              <w:t xml:space="preserve"> škropljenje in sprašujejo za naprej, zato je bilo zastavljeno vprašanje.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Minimalna zahteva je povezava mehanizacije z GPS sistemom.</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Neve če, dobro razumem plačila? npr. kmetija z 100 pitanci. Mora imeti 3-4 fazno pitanje; torej 5 analiziranih doma pridelanih krmil. Plačilo na 100 živali je  558,15 EUR/KMG. cca. 100 EUR je analiza enega  vzorca doma pridelanih krmil na  (surove beljakovine, vlaknine, </w:t>
            </w:r>
            <w:proofErr w:type="spellStart"/>
            <w:r w:rsidRPr="00CA3D14">
              <w:t>pelel,P</w:t>
            </w:r>
            <w:proofErr w:type="spellEnd"/>
            <w:r w:rsidRPr="00CA3D14">
              <w:t xml:space="preserve">, K, CA..).... torej 4 vzorci 400 EUR+ še zraven krmni obrok....  </w:t>
            </w:r>
            <w:proofErr w:type="spellStart"/>
            <w:r w:rsidRPr="00CA3D14">
              <w:t>nevem</w:t>
            </w:r>
            <w:proofErr w:type="spellEnd"/>
            <w:r w:rsidRPr="00CA3D14">
              <w:t>, če si narobe razlagam, ali je možno, da smo potem komaj na nuli ?</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Velja tako, kot je določeno že s SN 2023-2027 in tudi uredbo (http://www.pisrs.si/Pis.web/pregledPredpisa?id=URED8751).</w:t>
            </w:r>
            <w:r w:rsidRPr="00CA3D14">
              <w:br/>
              <w:t>Sicer pa je vključitev v operacijo PS_PRAP prostovoljna, KMG se sama odločijo ali bodo vstopila ali ne.</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nikjer ni posebej zapisano, imam </w:t>
            </w:r>
            <w:proofErr w:type="spellStart"/>
            <w:r w:rsidRPr="00CA3D14">
              <w:t>vpršanje</w:t>
            </w:r>
            <w:proofErr w:type="spellEnd"/>
            <w:r w:rsidRPr="00CA3D14">
              <w:t xml:space="preserve"> še ali se zasnovan kolobar lahko spremeni seveda tako, da še vedno ustreza vsem zapisanim zahtevam.</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Da.</w:t>
            </w:r>
            <w:r w:rsidRPr="00CA3D14">
              <w:br/>
              <w:t>Zasnovo kolobarja za petletno obdobje je treba imeti izdelano ob vstopu v operacijo. Kasneje, tekom trajanja obveznosti se ne preverja, ker je kolobar živa stvar.</w:t>
            </w:r>
            <w:r w:rsidRPr="00CA3D14">
              <w:br/>
              <w:t>Z upravnim pregledom se preverja ustreznost skupine kmetijskih rastlin za kolobar prek zbirne vloge, letno sledenje vrstenja koruze in ustreznost kolobarja po štirih in petih letih izvajanja operacije.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NVI.1 : ali se lahko v operacijo VOD vključijo kmetije, ki imajo zemljišča na vodovarstvenih </w:t>
            </w:r>
            <w:proofErr w:type="spellStart"/>
            <w:r w:rsidRPr="00CA3D14">
              <w:t>omočjih</w:t>
            </w:r>
            <w:proofErr w:type="spellEnd"/>
            <w:r w:rsidRPr="00CA3D14">
              <w:t xml:space="preserve"> VVO I in VVO II Ljubljansko polje ??</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V operacijo NV.1 se ne morejo vključiti KMG s površinami na najožjih VVO iz nacionalnih uredb (to so VVO I za vodna telesa vodonosnikov Ruš, </w:t>
            </w:r>
            <w:proofErr w:type="spellStart"/>
            <w:r w:rsidRPr="00CA3D14">
              <w:t>Vrbanskega</w:t>
            </w:r>
            <w:proofErr w:type="spellEnd"/>
            <w:r w:rsidRPr="00CA3D14">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Črnomelj, Metlika in Semič, za občini Škofja Loka in Gorenja vas-Poljane ter v občinah Ormož, Središče ob Dravi, Sveti Tomaž in delu občine Ljutomer.</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Obvezno je vodenje samo evidenc o delovnih opravilih. Za gnojenje in uporabo FFS pa ne?</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Obvezno je tudi vodenje evidenc o porabi gnojil in FFS. Te evidence so prav tako del evidenc o delovnih opravilih.</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Odgovore glede analiz rabimo takoj, saj imamo vsak dan ogromno klicev kako se naj pristopi k izdelavi analiz. Ti odgovori do sedaj niso niti popolnoma razumljivi niti po naše logični.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Z uredbo je določeno, da je veljavnost analize tal pet let, gnojilni načrt pa se izdela na podlagi veljavne analize tal.</w:t>
            </w:r>
            <w:r w:rsidRPr="00CA3D14">
              <w:br/>
              <w:t>Izjema glede veljavnosti analiz tal velja za integrirano pridelavo, kjer je treba analize tal izvajati v skladu s tehnološkimi navodili za integrirano pridelavo. To pomeni, da morajo biti analize tal vedno mlajše od 5 let (obvezno izvajanje analiz tal vsakih 5 let). Pri IPZ  morajo biti analize tal vedno mlajše od štirih let, pri IPZ v zavarovanih prostorih pa je treba analize tal izvajati vsaki dve leti.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pa se zavedate, da velik del vsaj naših hribov nima dovolj dobro pokritega signala, kjer </w:t>
            </w:r>
            <w:proofErr w:type="spellStart"/>
            <w:r w:rsidRPr="00CA3D14">
              <w:t>intenet</w:t>
            </w:r>
            <w:proofErr w:type="spellEnd"/>
            <w:r w:rsidRPr="00CA3D14">
              <w:t xml:space="preserve"> ne dela ali pa dela samo ponoči? </w:t>
            </w:r>
            <w:proofErr w:type="spellStart"/>
            <w:r w:rsidRPr="00CA3D14">
              <w:t>sja</w:t>
            </w:r>
            <w:proofErr w:type="spellEnd"/>
            <w:r w:rsidRPr="00CA3D14">
              <w:t xml:space="preserve"> se je to izkazalo </w:t>
            </w:r>
            <w:proofErr w:type="spellStart"/>
            <w:r w:rsidRPr="00CA3D14">
              <w:t>janso</w:t>
            </w:r>
            <w:proofErr w:type="spellEnd"/>
            <w:r w:rsidRPr="00CA3D14">
              <w:t xml:space="preserve"> tudi v koroni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Da, te težave se zavedamo, vendar bomo morali skupaj z resornim ministrstvom poiskati rešitev tudi za take primere. V letih 2023 in 2024 se evidence o delovnih opravilih še vodijo na način, ki je veljal za programsko obdobje 2014-2020.</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Plačilo za BIOTM znaša 110 EUR, feromon za sukača v vinogradu pa stane 190 EUR za ha? Kaki smisel so taki ukrepi, če ne pokrijejo stroška za izvajanje le tega.</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Višina plačila je določena na podlagi modelnega izračuna, ob upoštevanju dodatnih stroškov in izpada dohodka zaradi izvajanja operacije. V skladu s SN 2023-2027 višina plačila znaša 50 % višine podpore, izračunane po modelnem izračunu. Vstop v operacijo je prostovoljen.</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Predlagam, da za vse intervencije KOPOP daste možnost izstopa v prvem in drugem letu brez sankcij, če se glede na nedorečenosti in nepredvidene dogodke ugotovi, da kmetija ne zmore izvajati obveznosti. Menim, da bo sicer zelo malo pogumnih za vstope v zahtevnejše  operacije.</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Tovrsten odpustek ni mogoč. Vključitev je prostovoljna, KMG se sama odločijo ali bodo vstopila v intervencije KOPOP ali ne.</w:t>
            </w:r>
            <w:r w:rsidRPr="00CA3D14">
              <w:br/>
              <w:t>Odpustek je mogoč v primeru sprememb zahtev za izvajanje, če se upravičenec s tem ne strinja (uveljavlja se višja sila ali izjemna okoliščina zaradi spremembe načina kmetovanja neodvisno od upravičenca).</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Prepoved </w:t>
            </w:r>
            <w:proofErr w:type="spellStart"/>
            <w:r w:rsidRPr="00CA3D14">
              <w:t>digestata</w:t>
            </w:r>
            <w:proofErr w:type="spellEnd"/>
            <w:r w:rsidRPr="00CA3D14">
              <w:t xml:space="preserve">- ali je prepovedan tudi </w:t>
            </w:r>
            <w:proofErr w:type="spellStart"/>
            <w:r w:rsidRPr="00CA3D14">
              <w:t>digestat</w:t>
            </w:r>
            <w:proofErr w:type="spellEnd"/>
            <w:r w:rsidRPr="00CA3D14">
              <w:t xml:space="preserve"> 1.kakovosti-proizvod</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 xml:space="preserve">Prepovedana je tudi uporaba </w:t>
            </w:r>
            <w:proofErr w:type="spellStart"/>
            <w:r w:rsidRPr="00CA3D14">
              <w:t>digestata</w:t>
            </w:r>
            <w:proofErr w:type="spellEnd"/>
            <w:r w:rsidRPr="00CA3D14">
              <w:t xml:space="preserve"> 1. kakovostnega razreda.</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Pri hmeljišču v prameni je možna zamenjava IPH in IPL, vendar zahteva za IPL je, da je kmetija vključena v IPL z vsemi </w:t>
            </w:r>
            <w:proofErr w:type="spellStart"/>
            <w:r w:rsidRPr="00CA3D14">
              <w:t>njivkimi</w:t>
            </w:r>
            <w:proofErr w:type="spellEnd"/>
            <w:r w:rsidRPr="00CA3D14">
              <w:t xml:space="preserve"> površinami, kaj v primeru, ko je kmetija vključena v IPH, ima hmeljišče v prameni in ni vključena v IPL.</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Pri operaciji IPH v okviru intervencije KOPOP_NV se zmanjšanje vključene površine v to operacijo zaradi premene v hmeljišču ne upošteva kot kršitev pogojev, če:</w:t>
            </w:r>
            <w:r w:rsidRPr="00CA3D14">
              <w:br/>
              <w:t>- je hmeljišče obnovljeno po datumu oddaje zbirne vloge tekočega leta, vendar ne pozneje kakor v dveh letih od začetka premene. Upravičenec za površine v premeni v obdobju do ponovne zasaditve hmeljišča ni upravičen do plačila za to operacijo, mora pa za posamezno leto v obdobju mirovanja prejeti certifikat organizacije za kontrolo in certificiranje, ki potrjuje, da na površinah v mirovanju ni izvajal</w:t>
            </w:r>
            <w:r w:rsidRPr="00CA3D14">
              <w:br/>
              <w:t>kakršnih koli ukrepov, ki so v nasprotju s predpisom, ki ureja integrirano pridelavo hmelja. Če po končanem obdobju mirovanja upravičenec te operacije ne izvaja, agencija upravičenca izključi iz nadaljnjega izvajanja operacije in zahteva vračilo že izplačanih plačil v preteklih letih. Za površine v premeni v obdobju do ponovne zasaditve hmeljišča upravičenec lahko pridobi plačilo za operacije IPP, IPZ oz. IPSO za jagode, ki se izvajajo v okviru intervencije KOPOP_NV.</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Pri operaciji NV.11 precizno gnojenje in škropljenje ali je dovolj traktor opremljen z RTK navigacijo, ki omogoča precizno vožnjo in omogoča uporabo gnojil in škropljenje brez prekrivanja. RTK navigacija omogoča preciznost do 1 cm natančnosti.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Minimalna zahteva je povezava mehanizacije z GPS sistemom.</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Pri operaciji Vodni viri je zahtevan celoletni zeleni pokrov.  Zanima me ali se temu zadosti, če npr. po žetvi pšenice posejemo </w:t>
            </w:r>
            <w:proofErr w:type="spellStart"/>
            <w:r w:rsidRPr="00CA3D14">
              <w:t>neprezimno</w:t>
            </w:r>
            <w:proofErr w:type="spellEnd"/>
            <w:r w:rsidRPr="00CA3D14">
              <w:t xml:space="preserve"> oljno redkev ali drugo </w:t>
            </w:r>
            <w:proofErr w:type="spellStart"/>
            <w:r w:rsidRPr="00CA3D14">
              <w:t>neprezimno</w:t>
            </w:r>
            <w:proofErr w:type="spellEnd"/>
            <w:r w:rsidRPr="00CA3D14">
              <w:t xml:space="preserve"> mešanica, ki deluje </w:t>
            </w:r>
            <w:proofErr w:type="spellStart"/>
            <w:r w:rsidRPr="00CA3D14">
              <w:t>meliorativno</w:t>
            </w:r>
            <w:proofErr w:type="spellEnd"/>
            <w:r w:rsidRPr="00CA3D14">
              <w:t xml:space="preserve"> na tla in pustimo to do spomladi in pred setvijo npr. koruze to obdelamo in posejemo koruzo.</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 xml:space="preserve">Ne, ker je zahteva po celoletnem zelenem pokrovu, ki ga </w:t>
            </w:r>
            <w:proofErr w:type="spellStart"/>
            <w:r w:rsidRPr="00CA3D14">
              <w:t>neprezimne</w:t>
            </w:r>
            <w:proofErr w:type="spellEnd"/>
            <w:r w:rsidRPr="00CA3D14">
              <w:t xml:space="preserve"> rastline ne zagotavljajo (razen v primeru ugodnih zimskih razmer).</w:t>
            </w:r>
          </w:p>
        </w:tc>
      </w:tr>
      <w:tr w:rsidR="002540D5" w:rsidRPr="00CA3D14" w:rsidTr="008A3509">
        <w:trPr>
          <w:trHeight w:val="428"/>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Pri VOD in pri žetvi koruze v novembru, kaj lahko poseje za zagotovitev pokritosti?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 xml:space="preserve">Prezimno kmetijsko rastlino. Enako kot v obdobju 2014-2020, ko se je zaradi uveljavljanja višje sile rok setve za ozelenitev njivskih površin v okviru ukrepa KOPOP iz PRP 2014-2020 podaljšal celo na 15. 11. </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Program aktivnosti torej ne bo več potreben. Kako bo v aplikaciji potrebno dokazovati obstoj ATGN, ob oddaji ZV? </w:t>
            </w:r>
            <w:r w:rsidRPr="00CA3D14">
              <w:br/>
              <w:t>Za KOPOP je ATGN obvezen, kaj pa za SOPO in osnovne subvencije?</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Tako je, programa aktivnosti v obdobju 2023-2027 ni več. Obstoj analize tal in gnojilnega načrta se bo do vzpostavitve e-evidence za spremljanje stanja kmetijskih tal (</w:t>
            </w:r>
            <w:proofErr w:type="spellStart"/>
            <w:r w:rsidRPr="00CA3D14">
              <w:t>t.i</w:t>
            </w:r>
            <w:proofErr w:type="spellEnd"/>
            <w:r w:rsidRPr="00CA3D14">
              <w:t>. evidenca tla-KZ) dokazoval in preverjal le ob pregledu na kraju samem. Predvideno je, da bo evidenca tla-KZ vzpostavljena še letos, tako da naj bi se z letom 2024 obstoj analiz tal dokazoval oz. preverjal z upravnim pregledom prek te evidence, obstoj gnojilnih načrtov pa predvidoma še vedno le s pregledi na kraju samem. Enako velja tudi za intervencijo Lokalne pasme in sorte.</w:t>
            </w:r>
            <w:r w:rsidRPr="00CA3D14">
              <w:br/>
              <w:t>Za SOPO, OMD, biotično varstvo rastlin in plačila Natura 2000 analiza tal in gnojilni načrt nista potrebna.</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Prosim pojasnite povezave oz. obveznosti med VOD in KOL3. Če je KMG na območju sloja NUVO, ali mora obvezno v KOL3 če bo imel VOD in obratno?</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Ne.</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Prosim samo še za eno potrditev. »Če so AT GN za leti 2023 in 2024 starejši od 5 let jih je treba izdelati najpozneje do roka za oddajo zbirne vloge za leto 2024«. A to pomeni da AT izdelana leta 2018 še velja za leto 2023 ? (je starejša od 5 let).</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Če je analiza tal starejša od pet let, potem ni več veljavna.</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Prosim, da se </w:t>
            </w:r>
            <w:proofErr w:type="spellStart"/>
            <w:r w:rsidRPr="00CA3D14">
              <w:t>detaljno</w:t>
            </w:r>
            <w:proofErr w:type="spellEnd"/>
            <w:r w:rsidRPr="00CA3D14">
              <w:t xml:space="preserve"> obrazloži kako je z uporabo komposta ali </w:t>
            </w:r>
            <w:proofErr w:type="spellStart"/>
            <w:r w:rsidRPr="00CA3D14">
              <w:t>digestata</w:t>
            </w:r>
            <w:proofErr w:type="spellEnd"/>
            <w:r w:rsidRPr="00CA3D14">
              <w:t xml:space="preserve"> 1. razreda kakovosti , če ga kmetija proizvede sama, ali pa ga proizvede povezano podjetje ali družba.</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 xml:space="preserve">Pri intervencijah KOPOP se lahko uporablja le </w:t>
            </w:r>
            <w:proofErr w:type="spellStart"/>
            <w:r w:rsidRPr="00CA3D14">
              <w:t>digestat</w:t>
            </w:r>
            <w:proofErr w:type="spellEnd"/>
            <w:r w:rsidRPr="00CA3D14">
              <w:t xml:space="preserve"> oz. kompost, izdelan na KMG. V skladu s pripombo MOPE na uredbo KOPOP, se je možnost uporabe </w:t>
            </w:r>
            <w:proofErr w:type="spellStart"/>
            <w:r w:rsidRPr="00CA3D14">
              <w:t>digestata</w:t>
            </w:r>
            <w:proofErr w:type="spellEnd"/>
            <w:r w:rsidRPr="00CA3D14">
              <w:t xml:space="preserve"> oz. komposta v primeru povezanih podjetij črtala, torej se lahko uporablja le </w:t>
            </w:r>
            <w:proofErr w:type="spellStart"/>
            <w:r w:rsidRPr="00CA3D14">
              <w:t>digestat</w:t>
            </w:r>
            <w:proofErr w:type="spellEnd"/>
            <w:r w:rsidRPr="00CA3D14">
              <w:t xml:space="preserve"> oz. kompost, izdelan na KMG. Uporaba komposta oz. </w:t>
            </w:r>
            <w:proofErr w:type="spellStart"/>
            <w:r w:rsidRPr="00CA3D14">
              <w:t>digestata</w:t>
            </w:r>
            <w:proofErr w:type="spellEnd"/>
            <w:r w:rsidRPr="00CA3D14">
              <w:t xml:space="preserve"> 1. kakovostnega razreda pri intervencijah KOPOP ni dovoljena.</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Prosim, da se VELIKA NAVODILA za kmete pripravijo pred kampanjo, če se da, tudi v fizični obliki.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Velika navodila so že objavljena in tudi natisnjena.</w:t>
            </w:r>
          </w:p>
        </w:tc>
      </w:tr>
      <w:tr w:rsidR="002540D5" w:rsidRPr="00CA3D14" w:rsidTr="008A3509">
        <w:trPr>
          <w:trHeight w:val="300"/>
        </w:trPr>
        <w:tc>
          <w:tcPr>
            <w:tcW w:w="1423" w:type="dxa"/>
            <w:shd w:val="clear" w:color="auto" w:fill="auto"/>
          </w:tcPr>
          <w:p w:rsidR="002540D5" w:rsidRPr="00CA3D14" w:rsidRDefault="002540D5" w:rsidP="00AB04F3"/>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Prosim, definirajte celoletni zeleni pokrov. v kakšnem času opraviti setev? v enem tednu / mesecu</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Obdobje ni definirano na predlog deležnikov, ker so razmere na posameznih KMG različne in bi datumska omejitev predstavljala možnost za napake in neizpolnjevanje te zahteve oz. veliko primerov višje sile ali izjemnih okoliščin.</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PS_PRAP: Kmetija, ki ima lastna pridelana žita mora analizirati 5 vzorcev in ker ista kmetija doma pripravlja krme mešanice mora dodatno analizirati še 5 vzorcev. Skupaj 10. Ali prav razumem?</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Da, tako je določeno.</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Se bodo KOPOP ukrepi (npr. vod in kol) kombinirali </w:t>
            </w:r>
            <w:proofErr w:type="spellStart"/>
            <w:r w:rsidRPr="00CA3D14">
              <w:t>npr</w:t>
            </w:r>
            <w:proofErr w:type="spellEnd"/>
            <w:r w:rsidRPr="00CA3D14">
              <w:t xml:space="preserve"> z integriranim ukrepom?</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Operacija Vodni viri se lahko kombinira z operacijama Integrirana pridelava poljščin (IPP) in Integrirana pridelava zelenjave (IPZ). Operacija Ohranjanje kolobarja pa se ne more kombinirati z operacijama IPP in IPZ.</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Se lahko </w:t>
            </w:r>
            <w:proofErr w:type="spellStart"/>
            <w:r w:rsidRPr="00CA3D14">
              <w:t>vkluči</w:t>
            </w:r>
            <w:proofErr w:type="spellEnd"/>
            <w:r w:rsidRPr="00CA3D14">
              <w:t xml:space="preserve"> z 7 ovcami in 7 kozami?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V operacijo je treba vključiti 14 ovc oziroma koz.</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Se pravi kmet je 2023 vstopil z 10 ha. V letu 2024 </w:t>
            </w:r>
            <w:proofErr w:type="spellStart"/>
            <w:r w:rsidRPr="00CA3D14">
              <w:t>doddal</w:t>
            </w:r>
            <w:proofErr w:type="spellEnd"/>
            <w:r w:rsidRPr="00CA3D14">
              <w:t xml:space="preserve"> še 10 ha. V letu 2025 pa je zgubil nekaj površin. Če prav razumem se bo zmanjšanje gledalo na vstopno površino, kljub temu da je imel pred zmanjšanjem na kmetiji že 20 ha. Se pravi bo lahko v letu 2025 zmanjšal površino le za 1 ha, če bi za več bo najbrž šlo že za vračanje sredstev za zmanjšanje nad 10%</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Zmanjšanje površin se gleda na vstopno površino, ki je z upravnim pregledom preverjena površina prvega leta obveznosti oz. v primeru razširitve obveznosti z upravnim pregledom preverjena površina leta razširitve obveznosti.</w:t>
            </w:r>
            <w:r w:rsidRPr="00CA3D14">
              <w:br/>
              <w:t>Kmet je v letu 2024 površine povečal na 20 ha. V tem primeru gre za razširitev obveznosti, vstopna površina je tako 20 ha, zato v letu 2025 površine lahko zmanjša za največ 2 ha.</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Se pravi, da je </w:t>
            </w:r>
            <w:proofErr w:type="spellStart"/>
            <w:r w:rsidRPr="00CA3D14">
              <w:t>point</w:t>
            </w:r>
            <w:proofErr w:type="spellEnd"/>
            <w:r w:rsidRPr="00CA3D14">
              <w:t xml:space="preserve"> v pravilnem pisanju evidenc, da ne  bo sankcij ...za kmeta in to  po letu 2024 v elektronski obliki. Kaj pa tam, kjer še ni internetne povezave?</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V skladu z Zakonom o kmetijstvu (http://pisrs.si/Pis.web/pregledPredpisa?id=ZAKO4716) se bodo od 1. 1. 2025 vodile le še e-evidence o delovnih opravilih. Težave v zvezi z nedostopnostjo internetnih povezav na nekaterih območjih SI se zavedamo, vendar bomo morali skupaj z resornim ministrstvom poiskati rešitev tudi za take primere.</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Še eno vprašanje za prejšnjo temo: Hmeljar je na GERK-u A imel v letu 2022 posajen hmelj -  raba 1160 -  hmeljišče. V jeseni je to hmeljišče izoral in ima v letu 2023 premeno. Hmeljar se bo v letu 2023 z ostalimi hmeljišči vključil v IPH. Zanima me katerega leta lahko zgoraj navedeno premeno ponovno posadi s hmeljem - 2024 ali 2025?</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Premena je dvoletna. Če je prvo leto premene 2023, potem hmelj lahko posadi v letu 2025.</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Tale razprava danes pa je katastrofa... kako bomo šli pred kmete , če je tako veliko nejasnosti.... Bomo </w:t>
            </w:r>
            <w:proofErr w:type="spellStart"/>
            <w:r w:rsidRPr="00CA3D14">
              <w:t>predljudmi</w:t>
            </w:r>
            <w:proofErr w:type="spellEnd"/>
            <w:r w:rsidRPr="00CA3D14">
              <w:t xml:space="preserve"> </w:t>
            </w:r>
            <w:proofErr w:type="spellStart"/>
            <w:r w:rsidRPr="00CA3D14">
              <w:t>debetirali</w:t>
            </w:r>
            <w:proofErr w:type="spellEnd"/>
            <w:r w:rsidRPr="00CA3D14">
              <w:t>, tako kot vi sedaj...</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Ni bilo debate, ampak predstavitev že znanih dejstev, z opozorilom da se zadeve do sprejema uredbe lahko še spremenijo. To pa morate oz. ste že morali kmetom pojasniti vi.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To bo prava zmeda pri vnosu tako za nas vnašalce in  za vlagatelje zbirnih vlog. Zakaj tako kompliciranje, ko bi lahko bilo enostavno novo programsko obdobje nove petletne obveznosti za tiste, ki vstopijo in prevzamejo nove obveznosti.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Postopek je v skladu z Uredbo EU, na podlagi katere je treba upravičencem omogočiti zaključek še trajajočih obveznosti ukrepa KOPOP (in tudi EK) iz PRP 2014-2020. To je mogoče urediti s prilagoditvijo teh obveznosti, če se upravičenci s tem strinjajo. Če se ne strinjajo, obveznost preneha brez vračila že prejetih sredstev.</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Torej če je pa vstopil čisto na novo npr. v KOPOP ukrep GEN_PAS v letu 2021, 2022 pa to za njega ne velja? Enako velja tudi za EK , če je v l. 2022 povečal površine in mogel prevzeti novo obveznost?</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 xml:space="preserve">Tako je, ker je to možnost omogočila </w:t>
            </w:r>
            <w:proofErr w:type="spellStart"/>
            <w:r w:rsidRPr="00CA3D14">
              <w:t>t.i</w:t>
            </w:r>
            <w:proofErr w:type="spellEnd"/>
            <w:r w:rsidRPr="00CA3D14">
              <w:t>. tranzicijska uredba EU 2020/2220. Obveznost izvajanja ukrepa KOPOP ali ukrepa EK je trajala za upravičence, ki so v ta 2 ukrepa na novo vstopili v letu:</w:t>
            </w:r>
            <w:r w:rsidRPr="00CA3D14">
              <w:br/>
              <w:t>- 2021, dve leti (v letih 2021 in 2022);</w:t>
            </w:r>
            <w:r w:rsidRPr="00CA3D14">
              <w:br/>
              <w:t>- 2022, eno leto (v letu 2022).</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Torej kmet more narediti analizo tal do vnosa ZV 2024 in takrat mu bo narejen 5-letni gnojilni načrt, za leto 2023-2027. Čeprav bo leto 2023 že mimo?</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To je izjema za leto 2023.</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torej mora naša SKP podpirati tuje laboratorije?</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Ne, ni potrebe. Deležniki so predlagali (tudi iz vaših vrst), da se morajo priznati tudi analize krme, ki so jih izdelali laboratoriji zunaj RS. Predlog je bil sprejet.</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Upam, da so pri usposabljanjih gre za pedagoške ure </w:t>
            </w:r>
            <w:proofErr w:type="spellStart"/>
            <w:r w:rsidRPr="00CA3D14">
              <w:t>t.j</w:t>
            </w:r>
            <w:proofErr w:type="spellEnd"/>
            <w:r w:rsidRPr="00CA3D14">
              <w:t>. 45 min kot je standard v izobraževanju in šolstvu in na koncu tudi v psihologiji!</w:t>
            </w:r>
          </w:p>
        </w:tc>
      </w:tr>
      <w:tr w:rsidR="002540D5" w:rsidRPr="00CA3D14" w:rsidTr="008A3509">
        <w:trPr>
          <w:trHeight w:val="300"/>
        </w:trPr>
        <w:tc>
          <w:tcPr>
            <w:tcW w:w="1423" w:type="dxa"/>
            <w:shd w:val="clear" w:color="auto" w:fill="auto"/>
          </w:tcPr>
          <w:p w:rsidR="002540D5" w:rsidRPr="00CA3D14" w:rsidRDefault="002540D5" w:rsidP="00AB04F3"/>
        </w:tc>
        <w:tc>
          <w:tcPr>
            <w:tcW w:w="9209" w:type="dxa"/>
          </w:tcPr>
          <w:p w:rsidR="002540D5" w:rsidRPr="00CA3D14" w:rsidRDefault="002540D5" w:rsidP="002540D5">
            <w:r w:rsidRPr="00CA3D14">
              <w:t xml:space="preserve">Da, gre za </w:t>
            </w:r>
            <w:proofErr w:type="spellStart"/>
            <w:r w:rsidRPr="00CA3D14">
              <w:t>t.i</w:t>
            </w:r>
            <w:proofErr w:type="spellEnd"/>
            <w:r w:rsidRPr="00CA3D14">
              <w:t>. pedagoške ali šolske ure, 1 ura je 45 minut.</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–Upravičenec:</w:t>
            </w:r>
            <w:r w:rsidRPr="00CA3D14">
              <w:br/>
            </w:r>
            <w:r w:rsidRPr="00CA3D14">
              <w:rPr>
                <w:rFonts w:ascii="Calibri" w:hAnsi="Calibri" w:cs="Calibri"/>
              </w:rPr>
              <w:t></w:t>
            </w:r>
            <w:r w:rsidRPr="00CA3D14">
              <w:t xml:space="preserve"> se mora ....</w:t>
            </w:r>
            <w:proofErr w:type="spellStart"/>
            <w:r w:rsidRPr="00CA3D14">
              <w:t>bvencijske</w:t>
            </w:r>
            <w:proofErr w:type="spellEnd"/>
            <w:r w:rsidRPr="00CA3D14">
              <w:t xml:space="preserve"> kampanje za leto 2023;</w:t>
            </w:r>
            <w:r w:rsidRPr="00CA3D14">
              <w:br/>
            </w:r>
            <w:r w:rsidRPr="00CA3D14">
              <w:rPr>
                <w:rFonts w:ascii="Calibri" w:hAnsi="Calibri" w:cs="Calibri"/>
              </w:rPr>
              <w:t></w:t>
            </w:r>
            <w:r w:rsidRPr="00CA3D14">
              <w:t xml:space="preserve"> mora v integrirano pridelavo zelenjave vključiti vse površine, na katerih prideluje zelenjavo v tekočem letu in so v njegovi lasti ali zakupu, razen površin pod zavarovanimi prostori in površin, ki so v preusmerjanju v ekološke ali so ekološke v skladu s predpisi, ki urejajo ekološko pridelavo oziroma so vključene v integrirano pridelavo poljščin ali integrirano pridelavo sadja (jagode);</w:t>
            </w:r>
            <w:r w:rsidRPr="00CA3D14">
              <w:br/>
            </w:r>
            <w:r w:rsidRPr="00CA3D14">
              <w:rPr>
                <w:rFonts w:ascii="Calibri" w:hAnsi="Calibri" w:cs="Calibri"/>
              </w:rPr>
              <w:t></w:t>
            </w:r>
            <w:r w:rsidRPr="00CA3D14">
              <w:t xml:space="preserve"> mora pridobiti certifikat o integrirani pridelavi.</w:t>
            </w:r>
            <w:r w:rsidRPr="00CA3D14">
              <w:br/>
            </w:r>
            <w:r w:rsidRPr="00CA3D14">
              <w:rPr>
                <w:rFonts w:ascii="Calibri" w:hAnsi="Calibri" w:cs="Calibri"/>
              </w:rPr>
              <w:t>–</w:t>
            </w:r>
            <w:r w:rsidRPr="00CA3D14">
              <w:t>Lokacija izvajanja se v obdobju trajanja obveznosti ne sme spreminjati.</w:t>
            </w:r>
            <w:r w:rsidRPr="00CA3D14">
              <w:br/>
              <w:t xml:space="preserve"> to je kopija iz veljavnega </w:t>
            </w:r>
            <w:proofErr w:type="spellStart"/>
            <w:r w:rsidRPr="00CA3D14">
              <w:t>stratešega</w:t>
            </w:r>
            <w:proofErr w:type="spellEnd"/>
            <w:r w:rsidRPr="00CA3D14">
              <w:t xml:space="preserve"> načrta, kjer piše da se jagode uvrščajo med sadje, kdo ima zdaj prav?</w:t>
            </w:r>
          </w:p>
        </w:tc>
      </w:tr>
      <w:tr w:rsidR="002540D5" w:rsidRPr="00CA3D14" w:rsidTr="008A3509">
        <w:trPr>
          <w:trHeight w:val="300"/>
        </w:trPr>
        <w:tc>
          <w:tcPr>
            <w:tcW w:w="1423" w:type="dxa"/>
            <w:shd w:val="clear" w:color="auto" w:fill="auto"/>
          </w:tcPr>
          <w:p w:rsidR="002540D5" w:rsidRPr="00CA3D14" w:rsidRDefault="002540D5" w:rsidP="00AB04F3">
            <w:pPr>
              <w:pStyle w:val="Odstavekseznama"/>
            </w:pPr>
          </w:p>
        </w:tc>
        <w:tc>
          <w:tcPr>
            <w:tcW w:w="9209" w:type="dxa"/>
          </w:tcPr>
          <w:p w:rsidR="002540D5" w:rsidRPr="00CA3D14" w:rsidRDefault="002540D5" w:rsidP="002540D5">
            <w:r w:rsidRPr="00CA3D14">
              <w:t xml:space="preserve">Ne gre zato, kdo ima prav ali ne. SN 2023-2027 je bil pripravljen na podlagi analogije s plačil za intervencijo EK, kjer so bile jagode v obdobju 2014-2020(2022) uvrščene pod </w:t>
            </w:r>
            <w:proofErr w:type="spellStart"/>
            <w:r w:rsidRPr="00CA3D14">
              <w:t>eko</w:t>
            </w:r>
            <w:proofErr w:type="spellEnd"/>
            <w:r w:rsidRPr="00CA3D14">
              <w:t xml:space="preserve"> zelenjadnice. Za obdobje 2023-2027 so jagode uvrščene pod sadje pri integrirani pridelavi in BVR, kot zelenjadnica pa pri KOL, VOD, PAS_VOD in EK.</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Usposabljanje: 15 ur v prvih 3 letih - podan primer ni ravno razumljiv (vstop v 26 - 6 ur, vstop v 27 - 3 ure). Če vstopi 26, bo torej opravil samo 6 ur izobraževanja oz. če v 27, le 3 ure?</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Menimo, da je določba zapisana ustrezno, saj določa, koliko ur usposabljanja mora opraviti upravičenec ob vstopu v intervencijo KOPOP v letu 2026 oz. 2027.</w:t>
            </w:r>
            <w:r w:rsidRPr="00CA3D14">
              <w:br/>
              <w:t>Gre za to, da mora upravičenec v času trajanja obveznosti opraviti 15 ur usposabljanja, v prvih treh letih najmanj 9 ur.</w:t>
            </w:r>
            <w:r w:rsidRPr="00CA3D14">
              <w:br/>
              <w:t>Zapisana določba v uredbi pomeni, da mora upravičenec, ki v intervencijo KOPOP vstopi v letu 2026, do leta 2027 opraviti 6 ur usposabljanja, saj sta do konca programskega obdobja le še 2 leti (2026 in 2027). Enak princip velja tudi za vstope v 2027.</w:t>
            </w:r>
            <w:r w:rsidRPr="00CA3D14">
              <w:br/>
              <w:t>Kako bo urejen prehod na novo programsko obdobje v tem trenutku ne ve nihče, niti Komisija, ne moremo pa zahtevati, da upravičenec opravi 15 ur usposabljanja v 2 letih, če v intervencijo KOPOP vstopi v letu 2026 ali v 1 letu, če vstopi to intervencijo v letu 2027.</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V letu 2024 naj bi vzpostavili  elektronsko vodenje evidenc. Ali se bodo morale evidence KOPOP konec leta 2023 posredovati na AKTRP?</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Ne, evidence za leto 2023 in 2024 se lahko vodijo na nak način kot do sedaj. Izpolnjene evidence o delovnih opravilih se hranijo na KMG in se ne pošiljajo na ARSKTRP.</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V novem PRP do 2027 se vzpodbuja gradnja kompostarn in </w:t>
            </w:r>
            <w:proofErr w:type="spellStart"/>
            <w:r w:rsidRPr="00CA3D14">
              <w:t>manjsih</w:t>
            </w:r>
            <w:proofErr w:type="spellEnd"/>
            <w:r w:rsidRPr="00CA3D14">
              <w:t xml:space="preserve"> </w:t>
            </w:r>
            <w:proofErr w:type="spellStart"/>
            <w:r w:rsidRPr="00CA3D14">
              <w:t>bioplinarn</w:t>
            </w:r>
            <w:proofErr w:type="spellEnd"/>
            <w:r w:rsidRPr="00CA3D14">
              <w:t xml:space="preserve">. </w:t>
            </w:r>
            <w:r w:rsidRPr="00CA3D14">
              <w:br/>
              <w:t xml:space="preserve">V KOPOP pa je prepovedana uporaba le tega. Povejte mi 1 strokovno dejstvo zakaj bi bil kompost ali </w:t>
            </w:r>
            <w:proofErr w:type="spellStart"/>
            <w:r w:rsidRPr="00CA3D14">
              <w:t>digestat</w:t>
            </w:r>
            <w:proofErr w:type="spellEnd"/>
            <w:r w:rsidRPr="00CA3D14">
              <w:t xml:space="preserve"> škodljiv za tla če ima </w:t>
            </w:r>
            <w:proofErr w:type="spellStart"/>
            <w:r w:rsidRPr="00CA3D14">
              <w:t>deklacijo</w:t>
            </w:r>
            <w:proofErr w:type="spellEnd"/>
            <w:r w:rsidRPr="00CA3D14">
              <w:t xml:space="preserve"> da je 1 kakovostni razred.</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 xml:space="preserve">Uredba o predelavi biološko razgradljivih odpadkov in uporabi komposta ali </w:t>
            </w:r>
            <w:proofErr w:type="spellStart"/>
            <w:r w:rsidRPr="00CA3D14">
              <w:t>digestata</w:t>
            </w:r>
            <w:proofErr w:type="spellEnd"/>
            <w:r w:rsidRPr="00CA3D14">
              <w:t xml:space="preserve"> je nacionalni predpis, ki ob upoštevanju določb Uredbe 2021/2115/EU, predstavlja standard. Intervencije KOPOP pa podpirajo nadstandardne sonaravne kmetijske prakse. Z vidika koncepta intervencij KOPOP, </w:t>
            </w:r>
            <w:r w:rsidRPr="00CA3D14">
              <w:lastRenderedPageBreak/>
              <w:t xml:space="preserve">omenjena prepoved predstavlja nadstandard. Nadstandard je v tem, da ne dovoljuje uporabe nečesa, kar je z nacionalno zakonodajo dovoljeno, ker je to standard - uporaba </w:t>
            </w:r>
            <w:proofErr w:type="spellStart"/>
            <w:r w:rsidRPr="00CA3D14">
              <w:t>digestata</w:t>
            </w:r>
            <w:proofErr w:type="spellEnd"/>
            <w:r w:rsidRPr="00CA3D14">
              <w:t xml:space="preserve"> oz. komposta, tudi 1. kakovostnega razreda.</w:t>
            </w:r>
            <w:r w:rsidRPr="00CA3D14">
              <w:br/>
              <w:t>S tem v zvezi lahko predlagate strokovno argumentirano spremembo SN 2023-2027.</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v pisarni smo štirje in že v času tega izobraževanja, se je menjalo tu precej strank. Ne morejo verjeti, da mesec dni pred kampanjo NI odgovorov.. ( te stranke, gredo vsaka v svoj kraj/gostilno.... kakšen slab glas, se to širi.....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Kmetom je treba na ustrezen način pojasniti situacijo. Sicer pa so vstopi v intervencije KOPOP prostovoljni.</w:t>
            </w:r>
            <w:r w:rsidRPr="00CA3D14">
              <w:br/>
              <w:t xml:space="preserve">Najbolj odprte so tiste zadeve, ki jih izpostavljajo oz. jim nasprotujejo deležniki, čeprav so imeli tekom priprave SN 2023-2027 veliko možnosti za predstavitev strokovnih argumentov in ne le nasprotovanja kot takega, kar bi prispevalo k sprejemu strokovnih odločitev. SN 2023-2027 je sprejet v obliki kot je in veljajo zahteve in pogoji, ki jih določa. T. i. odprte zadeve se nanašajo na analizo tal in gnojilne načrte, prepoved uporabe </w:t>
            </w:r>
            <w:proofErr w:type="spellStart"/>
            <w:r w:rsidRPr="00CA3D14">
              <w:t>digestata</w:t>
            </w:r>
            <w:proofErr w:type="spellEnd"/>
            <w:r w:rsidRPr="00CA3D14">
              <w:t xml:space="preserve"> in komposta ter evidence o delovnih opravilih.</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v Strateškem načrtu pri IPZ piše, da e lahko menja tako z IPP in </w:t>
            </w:r>
            <w:proofErr w:type="spellStart"/>
            <w:r w:rsidRPr="00CA3D14">
              <w:t>IPSadje</w:t>
            </w:r>
            <w:proofErr w:type="spellEnd"/>
            <w:r w:rsidRPr="00CA3D14">
              <w:t xml:space="preserve"> zaradi jagod, Kako je zdaj s tem?</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Še vedno velja, da se v tekočem letu na površini GERK, ki je bila v predhodnem letu vključena v operacijo IPP, ta operacija lahko zamenja z operacijo IPZ in v primeru pridelave jagod z operacijo IPSO. Tako je urejeno tudi z uredbo (http://www.pisrs.si/Pis.web/pregledPredpisa?id=URED8751).</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V začetnih </w:t>
            </w:r>
            <w:proofErr w:type="spellStart"/>
            <w:r w:rsidRPr="00CA3D14">
              <w:t>slajdih</w:t>
            </w:r>
            <w:proofErr w:type="spellEnd"/>
            <w:r w:rsidRPr="00CA3D14">
              <w:t xml:space="preserve"> imate navedeno, da veljajo analize tal od 1.1.2019 naprej. Zdaj pa govorite o datumu 1.7.2023? Tu zdaj nekaj ne razumem, prosim za razlago kateri datum je zdaj pravilen, se pravi katere analize so veljavne?</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V času predstavitve (16. 2. 2023) je veljal predlog uredbe v skladu s katerim je bila za leto 2023 veljavna analiza tal, izdelana od 1. 1. 2019, za obdobje 2024-2027 pa analiza tal, izdelana od 1. 7. 2023, kar je bilo povsem razumljivo predstavljeno. Po tem pa je bila sprejeta odločitev, da z uredbo ne bodo določene datumske omejitve veljavnosti analiz tal. Uredba (http://www.pisrs.si/Pis.web/pregledPredpisa?id=URED8751) zdaj določa, da je veljavnost analize tal pet let, gnojilni načrt pa se izdela na podlagi veljavne analize tal.</w:t>
            </w:r>
            <w:r w:rsidRPr="00CA3D14">
              <w:br/>
              <w:t>Izjema glede veljavnosti analiz tal velja za integrirano pridelavo, kjer je treba analize tal izvajati v skladu s tehnološkimi navodili za integrirano pridelavo. To pomeni, da morajo biti analize tal vedno mlajše od 5 let (obvezno izvajanje analiz tal vsakih 5 let). Pri IPZ morajo biti analize tal vedno mlajše od štirih let, pri IPZ v zavarovanih prostorih pa je treba analize tal izvajati vsaki dve leti.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varovalni pasovi ob vodotokih morajo imeti svoj </w:t>
            </w:r>
            <w:proofErr w:type="spellStart"/>
            <w:r w:rsidRPr="00CA3D14">
              <w:t>gerk</w:t>
            </w:r>
            <w:proofErr w:type="spellEnd"/>
            <w:r w:rsidRPr="00CA3D14">
              <w:t xml:space="preserve"> ali so lahko del </w:t>
            </w:r>
            <w:proofErr w:type="spellStart"/>
            <w:r w:rsidRPr="00CA3D14">
              <w:t>gerka</w:t>
            </w:r>
            <w:proofErr w:type="spellEnd"/>
            <w:r w:rsidRPr="00CA3D14">
              <w:t xml:space="preserve"> celotne površine?</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Varovalni pasovi ob vodotokih so del GERK.</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Vedno so "pritiski" na svetovalce, da delamo premalo reklame za vključenost v KOPOP in EK. Že do sedaj se jih veliko ni odločilo zaradi vodenja evidenc, z elektronskimi evidencami bo še večji problem. Samo toliko, da opomnim, da ni vse na svetovalcih.</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Drži, da ni vse na svetovalcih, vendar pa so svetovalci tisti, ki imajo neposreden stik z upravičenci in s tem tudi "vpliv" na to, kako jim zahteve pojasnijo, obrazložijo.</w:t>
            </w:r>
            <w:r w:rsidRPr="00CA3D14">
              <w:br/>
              <w:t>Evidence o delovnih opravilih so, ne glede na obliko in način vodenja, neizogiben del intervencij KOPOP, ker so pri večini operacij eden in edini način, ki omogoča preveritev izpolnjevanja predpisanih zahtev.</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VELJAVNOST ANALIZ OD 1.7. 2023 ZA OBDOBJE 2023 -2027: Imamo kmetije, kjer so s 1.1. 2023 stopile v veljavo uredbe o VVO. Kmetije so zaradi določil uredbe - (gnojenje je dovoljeno le na osnovi </w:t>
            </w:r>
            <w:r w:rsidRPr="00CA3D14">
              <w:lastRenderedPageBreak/>
              <w:t>GN) zato so se vzorci tal za izdelavo GN že pobirali jeseni 2022, rezultate kemičnih analiz so kmetije prejemale iz pedološkega laboratorija v začetku leta 2023. Ali bodo te analize, ki so bile opravljene pred 1.7. 2023 neveljavne? (območje Sorško polje, Gorenjska), kjer je bilo tudi nekaj kmetij že doslej vključenih v KOPOP, analize tal so bile opravljene na Kmetijskem inštitutu.</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Da, analize bodo še vedno veljavne. Z uredbo (http://www.pisrs.si/Pis.web/pregledPredpisa?id=URED8751) niso določene datumske omejitve veljavnosti analiz tal. Določeno je, da je veljavnost analize tal pet let, gnojilni načrt pa se izdela na podlagi veljavne analize tal.</w:t>
            </w:r>
            <w:r w:rsidRPr="00CA3D14">
              <w:br/>
              <w:t>Izjema glede veljavnosti analiz tal velja za integrirano pridelavo, kjer je treba analize tal izvajati v skladu s tehnološkimi navodili za integrirano pridelavo. To pomeni, da morajo biti analize tal vedno mlajše od 5 let (obvezno izvajanje analiz tal vsakih 5 let). Pri IPZ je pa morajo biti analize tal vedno mlajše od štirih let, pri IPZ v zaščitenih prostorih pa je treba analize tal izvajati vsaki dve leti.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Verjetno bodo za izvajanje operacij šifranti kmetijskih rastlin?</w:t>
            </w:r>
          </w:p>
        </w:tc>
      </w:tr>
      <w:tr w:rsidR="002540D5" w:rsidRPr="00CA3D14" w:rsidTr="008A3509">
        <w:trPr>
          <w:trHeight w:val="300"/>
        </w:trPr>
        <w:tc>
          <w:tcPr>
            <w:tcW w:w="1423" w:type="dxa"/>
            <w:shd w:val="clear" w:color="auto" w:fill="auto"/>
          </w:tcPr>
          <w:p w:rsidR="002540D5" w:rsidRPr="00CA3D14" w:rsidRDefault="002540D5" w:rsidP="00AB04F3"/>
        </w:tc>
        <w:tc>
          <w:tcPr>
            <w:tcW w:w="9209" w:type="dxa"/>
          </w:tcPr>
          <w:p w:rsidR="002540D5" w:rsidRPr="00CA3D14" w:rsidRDefault="002540D5" w:rsidP="002540D5">
            <w:r w:rsidRPr="00CA3D14">
              <w:t xml:space="preserve">Da, tako kot vsako </w:t>
            </w:r>
            <w:proofErr w:type="spellStart"/>
            <w:r w:rsidRPr="00CA3D14">
              <w:t>subvencijsko</w:t>
            </w:r>
            <w:proofErr w:type="spellEnd"/>
            <w:r w:rsidRPr="00CA3D14">
              <w:t xml:space="preserve"> kampanjo, je tudi za leto 2023 pripravljen šifrant vrst oz. skupin kmetijskih rastlin in pomoči, ki bo določal na kateri vrste rabe in za katero kmetijsko rastlino se bo izvajala posamezna operacija oz. se bo lahko uveljavljalo plačilo (https://www.gov.si/assets/organi-v-sestavi/ARSKTRP/SNP/ZV-2023/02a-IAKS-sifrant-za-objavo_verzija-1.9-30-3-23.xlsx).</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Vodni viri-celoletni zeleni pokrov. Če prav razumem za vmesne setve (po spravilu glavne poljščine)-da zadostimo celoletni zeleni pokrov,   je zadosti, če posejemo samo eno rastlino (ni potrebno mešanico dveh ali več, kot je to zahteva v SOPO)?</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Da, dovolj je, da se poseje ena kmetijska rastlina.</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Vprašanje:  Na območju ukrepa Vodni Viri po spravilu koruze ali zelenjadnice pozno v novembru posejemo rastlino za zeleni pokrov, ki zaradi pozne setve ne bo zagotavljala </w:t>
            </w:r>
            <w:proofErr w:type="spellStart"/>
            <w:r w:rsidRPr="00CA3D14">
              <w:t>zadodstnega</w:t>
            </w:r>
            <w:proofErr w:type="spellEnd"/>
            <w:r w:rsidRPr="00CA3D14">
              <w:t xml:space="preserve"> zelenega pokrova. </w:t>
            </w:r>
            <w:r w:rsidRPr="00CA3D14">
              <w:br/>
              <w:t>1. Kakšne so sankcije v tem primeru?</w:t>
            </w:r>
            <w:r w:rsidRPr="00CA3D14">
              <w:br/>
              <w:t>2. Ali je ukrepu zadoščeno že s samo setvijo?</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Kolobar je treba prilagoditi tako, da se posevek pospravi dovolj zgodaj, da se lahko opravi setev rastline za zeleni pokrov in zagotovi ustrezna pokritost tal. Sama setev ne zadosti zahtevi po celoletni pokritosti tal.</w:t>
            </w:r>
            <w:r w:rsidRPr="00CA3D14">
              <w:br/>
              <w:t>Sankcije so določene z uredbo KOPOP (http://www.pisrs.si/Pis.web/pregledPredpisa?id=URED8751).</w:t>
            </w:r>
            <w:r w:rsidRPr="00CA3D14">
              <w:br/>
              <w:t>V primeru neustrezne oz. nezadostne pokritosti tal se lahko uveljavlja višja sila, če so zato ustrezna dokazila.</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proofErr w:type="spellStart"/>
            <w:r w:rsidRPr="00CA3D14">
              <w:t>vprašnje</w:t>
            </w:r>
            <w:proofErr w:type="spellEnd"/>
            <w:r w:rsidRPr="00CA3D14">
              <w:t xml:space="preserve"> zahteve KOLOBAR: ker ni posebej to zapisano, me </w:t>
            </w:r>
            <w:proofErr w:type="spellStart"/>
            <w:r w:rsidRPr="00CA3D14">
              <w:t>zan</w:t>
            </w:r>
            <w:proofErr w:type="spellEnd"/>
            <w:r w:rsidRPr="00CA3D14">
              <w:t xml:space="preserve"> ima, ali se za dve različni </w:t>
            </w:r>
            <w:proofErr w:type="spellStart"/>
            <w:r w:rsidRPr="00CA3D14">
              <w:t>ratslini</w:t>
            </w:r>
            <w:proofErr w:type="spellEnd"/>
            <w:r w:rsidRPr="00CA3D14">
              <w:t xml:space="preserve"> torej upoštevata tudi zelje in cvetača? ali vseeno govorimo o botaničnih družinah, ki so </w:t>
            </w:r>
            <w:proofErr w:type="spellStart"/>
            <w:r w:rsidRPr="00CA3D14">
              <w:t>običjno</w:t>
            </w:r>
            <w:proofErr w:type="spellEnd"/>
            <w:r w:rsidRPr="00CA3D14">
              <w:t xml:space="preserve"> in strokovno podlaga za strokovno načrtovanje kolobarja?</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Da. Z uredbo (http://www.pisrs.si/Pis.web/pregledPredpisa?id=URED8751) je določeno, da so zelenjadnice v kolobar za petletno obdobje lahko vključene vsako leto, pri čemer morajo biti v ta kolobar vključene najmanj tri različne zelenjadnice kot glavni posevek.</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Za analize zelene krme se lahko kmet odloča sam, pri čemer se lahko ustrezno zmanjša število analiz konzervirane krme. Kmetije z 31 ali več molznicami, imajo obvezo najmanj 5 vzorcev konzervirane krme. Če se odločijo za analizo zelene krme ki ni obvezna morajo potem prav tako obvezno narediti 5 vzorcev – kako se potem tukaj šteje zmanjšanje števila vzorcev pri konzervirani krmi?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 xml:space="preserve">Če katere od navedenih krm na KMG ne pridelujejo, se lahko rejec odloči za analizo več vzorcev druge krme. Po lastni presoji ali po posvetovanju s kmetijskim svetovalcem se lahko nosilec KMG odloči tudi za analizo zelene krme ali paše. Pri tem lahko ustrezno zmanjša število analiz konzervirane krme, in sicer tako, da je skupno število analiziranih vzorcev najmanj toliko, kot je </w:t>
            </w:r>
            <w:r w:rsidRPr="00CA3D14">
              <w:lastRenderedPageBreak/>
              <w:t>določeno pri operaciji PS_GOV (31 krav molznic ali več: 5 vzorcev, praviloma vsaj en vzorec travne silaže, en vzorec koruzne silaže in en vzorec mrve). Na KMG, ki morajo analizirati več kot 3 vzorce, se je smiselno odločiti za več vzorcev travniške krme, ker je variabilnost med vzorci praviloma večja, kot pri koruzni silaži. Na teh KMG se pri izboru vzorcev smiselno upošteva okoliščine, kot so npr. pridelovanje drugih krmnih rastlin (silaže iz strnih žit, sončnic, lucerne, sirka, …) ali krma, za katero je pričakovati odstopanja (npr. krma, pridelana v sušnih razmerah).</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Za koliko površin je dovolj ena analiza zemlje in kdo lahko naredi gnojilni načrt.</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 xml:space="preserve">Velja enako kot v programskem obdobju 2014-2020, pri vzorčenju kmetijskih zemljišč pa je treba upoštevati Pravilnik o spremljanju stanja kmetijskih tal (http://www.pisrs.si/Pis.web/pregledPredpisa?id=PRAV14232). V zvezi s tem so pripravljena navodila, ki so objavljena na spleti strani MKGP in ARSKTRP. Gnojilni načrt lahko izdela tudi upravičenec sam. </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Zahteve za izvajanje PO_KOL. V tretji točki je zapisano, da se najpozneje do 15.11. tekočega leta posevek zadela v tla. Ali je to usklajeno s pogojenostjo, ki pravi; talna odeja se vzdržuje na vsaj 80 % kmetijskih površin</w:t>
            </w:r>
            <w:r w:rsidRPr="00CA3D14">
              <w:br/>
              <w:t>kmetijskega gospodarstva v času od 15. 11. do 15. 2.</w:t>
            </w:r>
            <w:r w:rsidRPr="00CA3D14">
              <w:br/>
              <w:t>naslednje leto. Zagotavlja se pokritost tal z rastlinami, zastirko ali strniščem oziroma nepreorano površino?</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Gre za rastline za zeleno gnojenje, ki niso namenjene pokritosti tal, kot jo zahteva pogojenost. To sta dve različni zahtevi.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Zakaj operacija ni mogoča za npr. paradižnik proti tuti absoluti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 xml:space="preserve">Verjetno je vprašanje vezano na izvajanje metode </w:t>
            </w:r>
            <w:proofErr w:type="spellStart"/>
            <w:r w:rsidRPr="00CA3D14">
              <w:t>zbeganja</w:t>
            </w:r>
            <w:proofErr w:type="spellEnd"/>
            <w:r w:rsidRPr="00CA3D14">
              <w:t xml:space="preserve"> za paradižnikovega molja (Tuta absoluta) in vključitev v operacijo NV.8 Uporaba biotehniških metod za obvladovanje škodljivih organizmov v trajnih nasadih (BIOTM_TNS). BIOTM_TNS je bila  oblikovana le za trajne nasade, saj feromona, ki bi se uporabljal v metodi </w:t>
            </w:r>
            <w:proofErr w:type="spellStart"/>
            <w:r w:rsidRPr="00CA3D14">
              <w:t>zbeganja</w:t>
            </w:r>
            <w:proofErr w:type="spellEnd"/>
            <w:r w:rsidRPr="00CA3D14">
              <w:t xml:space="preserve"> za paradižnikovega molja v Sloveniji ni registriral še noben distributer oz. ponudnik, kar pa ne pomeni, da se v prihodnje ne bo našel kdo in uredil registracijo. Potem lahko metodo uradno priporočamo in jo vključimo v operacijo.</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Zanima me ali je možno? Bom dal primer: v </w:t>
            </w:r>
            <w:proofErr w:type="spellStart"/>
            <w:r w:rsidRPr="00CA3D14">
              <w:t>kopop</w:t>
            </w:r>
            <w:proofErr w:type="spellEnd"/>
            <w:r w:rsidRPr="00CA3D14">
              <w:t xml:space="preserve"> vstopiš z 10 ha naslednje leto povečaš na 15 ha, tretje leto pa zmanjšaš na 9 ha?</w:t>
            </w:r>
          </w:p>
        </w:tc>
      </w:tr>
      <w:tr w:rsidR="002540D5" w:rsidRPr="00CA3D14" w:rsidTr="008A3509">
        <w:trPr>
          <w:trHeight w:val="300"/>
        </w:trPr>
        <w:tc>
          <w:tcPr>
            <w:tcW w:w="1423" w:type="dxa"/>
            <w:shd w:val="clear" w:color="auto" w:fill="auto"/>
          </w:tcPr>
          <w:p w:rsidR="002540D5" w:rsidRPr="00CA3D14" w:rsidRDefault="002540D5" w:rsidP="00AB04F3"/>
        </w:tc>
        <w:tc>
          <w:tcPr>
            <w:tcW w:w="9209" w:type="dxa"/>
          </w:tcPr>
          <w:p w:rsidR="002540D5" w:rsidRPr="00CA3D14" w:rsidRDefault="002540D5" w:rsidP="002540D5">
            <w:r w:rsidRPr="00CA3D14">
              <w:t>Da, to je možno. Vendar je zmanjšanje več kot 10 %, zato je to kršitev. Površine se lahko zmanjšajo za 1,5 ha, kar je v okviru dovoljenega 10 % zmanjšanja.</w:t>
            </w:r>
            <w:r w:rsidRPr="00CA3D14">
              <w:br/>
              <w:t>V navedenem primeru gre za razširitev obveznosti, ker se je površina glede na leto vstopa povečala. Zaradi tega povečanja se kot vstopna površina šteje z upravnim pregledom preverjena površina leta razširitve obveznosti.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Zanima me tudi a bo med 5 letnim obdobjem mogoče prehajati iz stopnje kolobarja 1 v stopnjo kolobarja 2 ?</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Ne, prehod med stopnjami kolobarja tekom trajanja obveznosti ni mogoč.</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Zanima, me kako je s tistimi (ki niso prevzeli obveznosti), ampak so POVEČALI (nad 20%) ukrepe; in tisti, ki so leta 2020 PRVIČ vstopili v </w:t>
            </w:r>
            <w:proofErr w:type="spellStart"/>
            <w:r w:rsidRPr="00CA3D14">
              <w:t>kopop</w:t>
            </w:r>
            <w:proofErr w:type="spellEnd"/>
            <w:r w:rsidRPr="00CA3D14">
              <w:t>; ker ste rekli, da se z izjavo,( da se strinjajo..) tisti, ki so obveznosti prevzeli v 2019/2020.  Ali se pa dotika (ta izjava) vseh, ki so na novo vstopili/povečali....?</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Ne glede na razlog začetka nove 5-letne obveznosti v letu 2019 oz. 2020  (novi vstopi ali povečanje površin nad 20 %), so pogoji za vse isti. Ob oddaji zbirne vloge za leto 2023 se bodo morali odločiti in podati izjavo, ali se s prilagoditvijo obveznosti na SN 2023-2027 strinjajo ali ne.</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Zanimivo, da je prepoved uporabe blata iz komunalnih čistilnih naprav, ni pa prepovedi uporabe gnoja s farm kjer se uporablja </w:t>
            </w:r>
            <w:proofErr w:type="spellStart"/>
            <w:r w:rsidRPr="00CA3D14">
              <w:t>gso</w:t>
            </w:r>
            <w:proofErr w:type="spellEnd"/>
            <w:r w:rsidRPr="00CA3D14">
              <w:t xml:space="preserve"> krma. Upajmo, da se to doseže v naslednjem programskem obdobju, lahko pa še v tem.</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Kot izhaja že iz SN 2023-2027 velja prepoved, kot ste navedli. S tem v zvezi lahko predlagate strokovno argumentirano spremembo SN 2023-2027.</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Zeleni pokrov zagotavljat je zelo rizično poleti, če ni prepotrebnega dežja, ali pa jeseni, če je moča in ni mogoča setev!!!</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Če pride do neugodnih vremenskih razmer, se lahko uveljavlja višja sila, če so zato ustrezna dokazila.</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300"/>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 xml:space="preserve">Zmanjšanje površin za več kot 10 % med trajanjem obveznosti. Ali bo to kršitev če recimo zmanjšaš površine med letoma 2024 in 2025 za več kot 10, ali bo zmanjšanje med operacijo lahko </w:t>
            </w:r>
            <w:proofErr w:type="spellStart"/>
            <w:r w:rsidRPr="00CA3D14">
              <w:t>većje</w:t>
            </w:r>
            <w:proofErr w:type="spellEnd"/>
            <w:r w:rsidRPr="00CA3D14">
              <w:t xml:space="preserve">, gledalo pa se bo </w:t>
            </w:r>
            <w:proofErr w:type="spellStart"/>
            <w:r w:rsidRPr="00CA3D14">
              <w:t>samno</w:t>
            </w:r>
            <w:proofErr w:type="spellEnd"/>
            <w:r w:rsidRPr="00CA3D14">
              <w:t xml:space="preserve"> vstopne površine in površine po 5 letih. Če bo znotraj 10 % (kljub temu da med posameznimi leti niha za več kot %).</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r w:rsidRPr="00CA3D14">
              <w:t>V obdobju trajanja obveznosti (v petih letih) se skupna velikost površin lahko zmanjša za največ 10 % glede na vstopno površino ali kasneje povečano površino (razen v primeru višje sile ali izjemnih okoliščin). Če se bodo površine med letoma 2024 in 2025 zmanjšale za več kot 10 %, bo to kršitev.</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Pr="00CA3D14" w:rsidRDefault="002540D5" w:rsidP="002540D5"/>
        </w:tc>
      </w:tr>
      <w:tr w:rsidR="002540D5" w:rsidRPr="00CA3D14" w:rsidTr="008A3509">
        <w:trPr>
          <w:trHeight w:val="564"/>
        </w:trPr>
        <w:tc>
          <w:tcPr>
            <w:tcW w:w="1423" w:type="dxa"/>
            <w:shd w:val="clear" w:color="auto" w:fill="auto"/>
          </w:tcPr>
          <w:p w:rsidR="002540D5" w:rsidRPr="00CA3D14" w:rsidRDefault="002540D5" w:rsidP="002540D5">
            <w:pPr>
              <w:pStyle w:val="Odstavekseznama"/>
              <w:numPr>
                <w:ilvl w:val="0"/>
                <w:numId w:val="1"/>
              </w:numPr>
            </w:pPr>
          </w:p>
        </w:tc>
        <w:tc>
          <w:tcPr>
            <w:tcW w:w="9209" w:type="dxa"/>
            <w:shd w:val="clear" w:color="auto" w:fill="DEEAF6" w:themeFill="accent1" w:themeFillTint="33"/>
          </w:tcPr>
          <w:p w:rsidR="002540D5" w:rsidRPr="00CA3D14" w:rsidRDefault="002540D5" w:rsidP="002540D5">
            <w:r w:rsidRPr="00CA3D14">
              <w:t>Znižano plačilo pri kombinaciji VOD+KOL3, katero plačilo bo znižano in koliko?</w:t>
            </w:r>
          </w:p>
        </w:tc>
      </w:tr>
      <w:tr w:rsidR="002540D5" w:rsidRPr="00CA3D14" w:rsidTr="008A3509">
        <w:trPr>
          <w:trHeight w:val="300"/>
        </w:trPr>
        <w:tc>
          <w:tcPr>
            <w:tcW w:w="1423" w:type="dxa"/>
            <w:shd w:val="clear" w:color="auto" w:fill="auto"/>
          </w:tcPr>
          <w:p w:rsidR="002540D5" w:rsidRPr="00CA3D14" w:rsidRDefault="002540D5" w:rsidP="00AB04F3">
            <w:pPr>
              <w:ind w:left="360"/>
            </w:pPr>
          </w:p>
        </w:tc>
        <w:tc>
          <w:tcPr>
            <w:tcW w:w="9209" w:type="dxa"/>
          </w:tcPr>
          <w:p w:rsidR="002540D5" w:rsidRDefault="002540D5" w:rsidP="002540D5">
            <w:r w:rsidRPr="00CA3D14">
              <w:t>Plačila za kombinacije so določena z uredbo KOPOP. Zniža se plačilo za KOL_3, ki v kombinaciji z VOD znaša 25,80 € na ha letno.</w:t>
            </w:r>
          </w:p>
          <w:p w:rsidR="0042598E" w:rsidRPr="00CA3D14" w:rsidRDefault="0042598E" w:rsidP="002540D5"/>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Pr="00CA3D14" w:rsidRDefault="00DC2E44" w:rsidP="002540D5"/>
        </w:tc>
      </w:tr>
      <w:tr w:rsidR="00DC2E44" w:rsidRPr="00CA3D14" w:rsidTr="008A3509">
        <w:trPr>
          <w:trHeight w:val="300"/>
        </w:trPr>
        <w:tc>
          <w:tcPr>
            <w:tcW w:w="1423" w:type="dxa"/>
            <w:shd w:val="clear" w:color="auto" w:fill="auto"/>
          </w:tcPr>
          <w:p w:rsidR="00DC2E44" w:rsidRPr="00CA3D14" w:rsidRDefault="00DC2E44" w:rsidP="00DC2E44">
            <w:pPr>
              <w:pStyle w:val="Odstavekseznama"/>
              <w:numPr>
                <w:ilvl w:val="0"/>
                <w:numId w:val="1"/>
              </w:numPr>
            </w:pPr>
          </w:p>
        </w:tc>
        <w:tc>
          <w:tcPr>
            <w:tcW w:w="9209" w:type="dxa"/>
            <w:shd w:val="clear" w:color="auto" w:fill="DEEAF6" w:themeFill="accent1" w:themeFillTint="33"/>
          </w:tcPr>
          <w:p w:rsidR="00DC2E44" w:rsidRPr="00CA3D14" w:rsidRDefault="00DC2E44" w:rsidP="002540D5">
            <w:r>
              <w:t>Ali se bodo agrarne skupnosti, ki še niso registrirane po novem zakonu o AS lahko vključile v KOPOP ukrepe npr. planinska paša?</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r>
              <w:t>Da.</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DC2E44">
            <w:pPr>
              <w:pStyle w:val="Odstavekseznama"/>
              <w:numPr>
                <w:ilvl w:val="0"/>
                <w:numId w:val="1"/>
              </w:numPr>
            </w:pPr>
          </w:p>
        </w:tc>
        <w:tc>
          <w:tcPr>
            <w:tcW w:w="9209" w:type="dxa"/>
            <w:shd w:val="clear" w:color="auto" w:fill="DEEAF6" w:themeFill="accent1" w:themeFillTint="33"/>
          </w:tcPr>
          <w:p w:rsidR="00DC2E44" w:rsidRDefault="00DC2E44" w:rsidP="002540D5">
            <w:r>
              <w:t>ALI SE TUDI ZGODAJ POSEJANA ZIMSKA OZELENITEV UPOŠTEVA KOT DOSEVEK ZA IZPOLNJEVANJE POGOJA KOLOBAR</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r>
              <w:t>Za pogojenost (DKOP 7) da.</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DC2E44">
            <w:pPr>
              <w:pStyle w:val="Odstavekseznama"/>
              <w:numPr>
                <w:ilvl w:val="0"/>
                <w:numId w:val="1"/>
              </w:numPr>
            </w:pPr>
          </w:p>
        </w:tc>
        <w:tc>
          <w:tcPr>
            <w:tcW w:w="9209" w:type="dxa"/>
            <w:shd w:val="clear" w:color="auto" w:fill="DEEAF6" w:themeFill="accent1" w:themeFillTint="33"/>
          </w:tcPr>
          <w:p w:rsidR="00DC2E44" w:rsidRDefault="00DC2E44" w:rsidP="002540D5">
            <w:r>
              <w:t xml:space="preserve">Analiza tal - katere parametre pa mora zajemati analiza tal za PZR1-fosfati? in ali morajo biti izdelane analize tal za vsak </w:t>
            </w:r>
            <w:proofErr w:type="spellStart"/>
            <w:r>
              <w:t>gerk</w:t>
            </w:r>
            <w:proofErr w:type="spellEnd"/>
            <w:r>
              <w:t xml:space="preserve"> posebej- za njive?</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r>
              <w:t>Najmanj podatek o fosforju, če hočete narediti strokovno utemeljen gnojilni načrt na prispevnem območju rek, kjer je ekološko stanje za fosfor ocenjeno kot zmerno. Vzorce za analizo se dela po strokovnih načelih.</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DC2E44">
            <w:pPr>
              <w:pStyle w:val="Odstavekseznama"/>
              <w:numPr>
                <w:ilvl w:val="0"/>
                <w:numId w:val="1"/>
              </w:numPr>
            </w:pPr>
          </w:p>
        </w:tc>
        <w:tc>
          <w:tcPr>
            <w:tcW w:w="9209" w:type="dxa"/>
            <w:shd w:val="clear" w:color="auto" w:fill="DEEAF6" w:themeFill="accent1" w:themeFillTint="33"/>
          </w:tcPr>
          <w:p w:rsidR="00DC2E44" w:rsidRDefault="00DC2E44" w:rsidP="002540D5">
            <w:r>
              <w:t>Kako bomo izpolnjevali kolobar na varovalnih pasovih ob vodotokih, kjer ti pasovi posegajo na njivsko površino?</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r>
              <w:t>"Vlagatelji morajo vedno upoštevati zahteve iz DKOP4 za varovalne pasove. Za leto 2023 se tudi površina varovalnega pasu lahko prijavi pod zahtevke za intervencijo ali operacijo, pod pogojem, da so izpolnjeni pogoji za varovalne pasove in v preostalem delu, pogoji za intervencijo ali operacijo. Obravnavo in prijavo varovalnih pasov v okviru zahtevkov za intervencije za namen ZV 2024 pa proučujemo (npr. v smeri rešitve na ravni aplikacije za ZV). Prav tako je za varovalne pasove, ki bodo pod travo rušo 5 let in več, predvidena  izjema, torej, da take površine ostanejo njivske površine.</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DC2E44">
            <w:pPr>
              <w:pStyle w:val="Odstavekseznama"/>
              <w:numPr>
                <w:ilvl w:val="0"/>
                <w:numId w:val="1"/>
              </w:numPr>
            </w:pPr>
          </w:p>
        </w:tc>
        <w:tc>
          <w:tcPr>
            <w:tcW w:w="9209" w:type="dxa"/>
            <w:shd w:val="clear" w:color="auto" w:fill="DEEAF6" w:themeFill="accent1" w:themeFillTint="33"/>
          </w:tcPr>
          <w:p w:rsidR="00DC2E44" w:rsidRDefault="00DC2E44" w:rsidP="002540D5">
            <w:r>
              <w:t>Kako pa z analizami glede POGOJENOSTI - FOSFOR. Analize isto, do zbirne vloge 2024?</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r>
              <w:t>Gnojilni načrt mora biti narejen za vsako leto v skladu s strokovnimi smernicami. Preverja se s kontrolo pogojenosti na kraju samem. Letošnje leto je prehodno leto in je morebitna kršitev ocenjena z NBP - neskladnost brez posledic. Priporočamo, da se gnojilni načrt naredi čimprej.</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DC2E44">
            <w:pPr>
              <w:pStyle w:val="Odstavekseznama"/>
              <w:numPr>
                <w:ilvl w:val="0"/>
                <w:numId w:val="1"/>
              </w:numPr>
            </w:pPr>
          </w:p>
        </w:tc>
        <w:tc>
          <w:tcPr>
            <w:tcW w:w="9209" w:type="dxa"/>
            <w:shd w:val="clear" w:color="auto" w:fill="DEEAF6" w:themeFill="accent1" w:themeFillTint="33"/>
          </w:tcPr>
          <w:p w:rsidR="00DC2E44" w:rsidRDefault="00DC2E44" w:rsidP="002540D5">
            <w:r>
              <w:t>KOL_2 kako so določene okopavine, ki izboljšujejo tla?</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r>
              <w:t>Določene so v šifrantu KMRS.</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DC2E44">
            <w:pPr>
              <w:pStyle w:val="Odstavekseznama"/>
              <w:numPr>
                <w:ilvl w:val="0"/>
                <w:numId w:val="1"/>
              </w:numPr>
            </w:pPr>
          </w:p>
        </w:tc>
        <w:tc>
          <w:tcPr>
            <w:tcW w:w="9209" w:type="dxa"/>
            <w:shd w:val="clear" w:color="auto" w:fill="DEEAF6" w:themeFill="accent1" w:themeFillTint="33"/>
          </w:tcPr>
          <w:p w:rsidR="00DC2E44" w:rsidRDefault="00DC2E44" w:rsidP="002540D5">
            <w:r>
              <w:t xml:space="preserve">Kolobar: GERK velikosti 0,3 ha na njem rastejo istočasno 4 kulture (zelenjadnice). </w:t>
            </w:r>
            <w:proofErr w:type="spellStart"/>
            <w:r>
              <w:t>Gerk</w:t>
            </w:r>
            <w:proofErr w:type="spellEnd"/>
            <w:r>
              <w:t xml:space="preserve"> se razdeli na 4 poljine. Ali velikost poljine igra vlogo, ker v tem primeru so poljine manjše kot 0,1 ha?</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r>
              <w:t>Da</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DC2E44">
            <w:pPr>
              <w:pStyle w:val="Odstavekseznama"/>
              <w:numPr>
                <w:ilvl w:val="0"/>
                <w:numId w:val="1"/>
              </w:numPr>
            </w:pPr>
          </w:p>
        </w:tc>
        <w:tc>
          <w:tcPr>
            <w:tcW w:w="9209" w:type="dxa"/>
            <w:shd w:val="clear" w:color="auto" w:fill="DEEAF6" w:themeFill="accent1" w:themeFillTint="33"/>
          </w:tcPr>
          <w:p w:rsidR="00DC2E44" w:rsidRDefault="00DC2E44" w:rsidP="002540D5">
            <w:r>
              <w:t>Mora biti laboratorij ki opravi analizo krme akreditiran?</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r>
              <w:t>(prazno)</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DC2E44">
            <w:pPr>
              <w:pStyle w:val="Odstavekseznama"/>
              <w:numPr>
                <w:ilvl w:val="0"/>
                <w:numId w:val="1"/>
              </w:numPr>
            </w:pPr>
          </w:p>
        </w:tc>
        <w:tc>
          <w:tcPr>
            <w:tcW w:w="9209" w:type="dxa"/>
            <w:shd w:val="clear" w:color="auto" w:fill="DEEAF6" w:themeFill="accent1" w:themeFillTint="33"/>
          </w:tcPr>
          <w:p w:rsidR="00DC2E44" w:rsidRDefault="00DC2E44" w:rsidP="002540D5">
            <w:r>
              <w:t xml:space="preserve">Na dan 1.2.2023 </w:t>
            </w:r>
            <w:proofErr w:type="spellStart"/>
            <w:r>
              <w:t>CRDr</w:t>
            </w:r>
            <w:proofErr w:type="spellEnd"/>
            <w:r>
              <w:t xml:space="preserve"> še ni bil dokončno vzpostavljen, kolikor vemo?</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r>
              <w:t>Drži, popis se je izvaja do 20. 2. 2023. Zato se v primerih, ko je treba računati obtežbo za leto 2023, pri drobnici upošteva stalež drobnice na dan 1. 2. iz evidence ERŽ (</w:t>
            </w:r>
            <w:proofErr w:type="spellStart"/>
            <w:r>
              <w:t>Evidena</w:t>
            </w:r>
            <w:proofErr w:type="spellEnd"/>
            <w:r>
              <w:t xml:space="preserve"> </w:t>
            </w:r>
            <w:proofErr w:type="spellStart"/>
            <w:r>
              <w:t>rejnih</w:t>
            </w:r>
            <w:proofErr w:type="spellEnd"/>
            <w:r>
              <w:t xml:space="preserve"> živali), na preostale reprezentativno izbrane datume pa se upošteva stalež drobnice že  iz CRD.</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DC2E44">
            <w:pPr>
              <w:pStyle w:val="Odstavekseznama"/>
              <w:numPr>
                <w:ilvl w:val="0"/>
                <w:numId w:val="1"/>
              </w:numPr>
            </w:pPr>
          </w:p>
        </w:tc>
        <w:tc>
          <w:tcPr>
            <w:tcW w:w="9209" w:type="dxa"/>
            <w:shd w:val="clear" w:color="auto" w:fill="DEEAF6" w:themeFill="accent1" w:themeFillTint="33"/>
          </w:tcPr>
          <w:p w:rsidR="00DC2E44" w:rsidRDefault="00DC2E44" w:rsidP="002540D5">
            <w:r>
              <w:t xml:space="preserve">Na upravnih enotah avtomatsko združujejo soležne </w:t>
            </w:r>
            <w:proofErr w:type="spellStart"/>
            <w:r>
              <w:t>gerke</w:t>
            </w:r>
            <w:proofErr w:type="spellEnd"/>
            <w:r>
              <w:t xml:space="preserve"> iste vrste rabe, zato prej pravilno vprašanje kaj pri združevanju </w:t>
            </w:r>
            <w:proofErr w:type="spellStart"/>
            <w:r>
              <w:t>gerkov</w:t>
            </w:r>
            <w:proofErr w:type="spellEnd"/>
            <w:r>
              <w:t>?</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r>
              <w:t>Glej odgovor k vprašanju 67.</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DC2E44">
            <w:pPr>
              <w:pStyle w:val="Odstavekseznama"/>
              <w:numPr>
                <w:ilvl w:val="0"/>
                <w:numId w:val="1"/>
              </w:numPr>
            </w:pPr>
          </w:p>
        </w:tc>
        <w:tc>
          <w:tcPr>
            <w:tcW w:w="9209" w:type="dxa"/>
            <w:shd w:val="clear" w:color="auto" w:fill="DEEAF6" w:themeFill="accent1" w:themeFillTint="33"/>
          </w:tcPr>
          <w:p w:rsidR="00DC2E44" w:rsidRDefault="00DC2E44" w:rsidP="002540D5">
            <w:r>
              <w:t xml:space="preserve">Popis živali drobnice se je izvajal do 20. februarja 2023.« zato še CRD še ni bil </w:t>
            </w:r>
            <w:proofErr w:type="spellStart"/>
            <w:r>
              <w:t>vspostavljen</w:t>
            </w:r>
            <w:proofErr w:type="spellEnd"/>
            <w:r>
              <w:t xml:space="preserve"> na 1.2?</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r>
              <w:t>Drži, popis se je izvaja do 20. 2. 2023. Zato se v primerih, ko je treba računati obtežbo za leto 2023, pri drobnici upošteva stalež drobnice na dan 1. 2. iz evidence ERŽ (</w:t>
            </w:r>
            <w:proofErr w:type="spellStart"/>
            <w:r>
              <w:t>Evidecna</w:t>
            </w:r>
            <w:proofErr w:type="spellEnd"/>
            <w:r>
              <w:t xml:space="preserve"> </w:t>
            </w:r>
            <w:proofErr w:type="spellStart"/>
            <w:r>
              <w:t>rejnih</w:t>
            </w:r>
            <w:proofErr w:type="spellEnd"/>
            <w:r>
              <w:t xml:space="preserve"> živali), na preostale reprezentativno izbrane datume pa se upošteva stalež drobnice že iz CRD.</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DC2E44">
            <w:pPr>
              <w:pStyle w:val="Odstavekseznama"/>
              <w:numPr>
                <w:ilvl w:val="0"/>
                <w:numId w:val="1"/>
              </w:numPr>
            </w:pPr>
          </w:p>
        </w:tc>
        <w:tc>
          <w:tcPr>
            <w:tcW w:w="9209" w:type="dxa"/>
            <w:shd w:val="clear" w:color="auto" w:fill="DEEAF6" w:themeFill="accent1" w:themeFillTint="33"/>
          </w:tcPr>
          <w:p w:rsidR="00DC2E44" w:rsidRDefault="00DC2E44" w:rsidP="002540D5">
            <w:r>
              <w:t>PS-</w:t>
            </w:r>
            <w:proofErr w:type="spellStart"/>
            <w:r>
              <w:t>gov</w:t>
            </w:r>
            <w:proofErr w:type="spellEnd"/>
            <w:r>
              <w:t>: zakaj 5 analiz krme za nad 31 krav molznic? V čem smisel, če ima kmetija npr. samo dva silosa in bi s tem večkrat analiziral isti silos?</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8207EB" w:rsidRPr="008207EB" w:rsidRDefault="008207EB" w:rsidP="008207EB">
            <w:r w:rsidRPr="008207EB">
              <w:t xml:space="preserve">Kmetije se glede na način pridelovanja krme in krmljenja med seboj zelo razlikujejo in Operacija PS_GOV je namenjena vsem. Rezultati analiz krme niso namenjeni le sestavljanju krmnih obrokov, ampak tudi sledenju napredku na področju kakovosti krme. Pri koruzni silaži res lahko pričakujemo, da bo silaža iz silosa izenačena, na travinju pa pridelamo krmo različne kakovosti (različne košnje oz. rastni ciklusi, trajno travinje, sejano travinje, prezimni dosevki). Na številnih kmetijah pasejo, nekateri ob silaži krmijo tudi seno. Vse več kmetij se odloča za pridelovanje lucerne, na nekaterih kmetijah pridelujejo tudi silaže iz pravih žit in sirka. Na nekaterih kmetijah imajo več silosov, nekatere imajo silažo v valjastih balah. Število vzorcev je bilo določeno za povprečno stanje. Zaradi večjega števil vzorcev na kmetijah, ki redijo 31 molznic ali več, je na teh kmetijah tudi plačilo večje (število vzorcev je med pomembnejšimi kriteriji za določitev višine plačila). </w:t>
            </w:r>
          </w:p>
          <w:p w:rsidR="00DC2E44" w:rsidRDefault="00DC2E44" w:rsidP="002540D5"/>
        </w:tc>
      </w:tr>
      <w:tr w:rsidR="008207EB" w:rsidRPr="00CA3D14" w:rsidTr="008A3509">
        <w:trPr>
          <w:trHeight w:val="300"/>
        </w:trPr>
        <w:tc>
          <w:tcPr>
            <w:tcW w:w="1423" w:type="dxa"/>
            <w:shd w:val="clear" w:color="auto" w:fill="auto"/>
          </w:tcPr>
          <w:p w:rsidR="008207EB" w:rsidRPr="00CA3D14" w:rsidRDefault="008207EB" w:rsidP="00AB04F3">
            <w:pPr>
              <w:ind w:left="360"/>
            </w:pPr>
            <w:r w:rsidRPr="008207EB">
              <w:t>Dodatno pojasnilo:</w:t>
            </w:r>
          </w:p>
        </w:tc>
        <w:tc>
          <w:tcPr>
            <w:tcW w:w="9209" w:type="dxa"/>
            <w:shd w:val="clear" w:color="auto" w:fill="C5E0B3" w:themeFill="accent6" w:themeFillTint="66"/>
          </w:tcPr>
          <w:p w:rsidR="008207EB" w:rsidRPr="008207EB" w:rsidRDefault="008207EB" w:rsidP="008207EB">
            <w:r w:rsidRPr="008207EB">
              <w:br/>
              <w:t>Za enkrat akreditacija laboratorijev za analizo krme ni potrebna.</w:t>
            </w:r>
          </w:p>
          <w:p w:rsidR="008207EB" w:rsidRPr="008207EB" w:rsidRDefault="008207EB" w:rsidP="008207EB"/>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0E3BBA">
            <w:pPr>
              <w:pStyle w:val="Odstavekseznama"/>
              <w:numPr>
                <w:ilvl w:val="0"/>
                <w:numId w:val="1"/>
              </w:numPr>
            </w:pPr>
          </w:p>
        </w:tc>
        <w:tc>
          <w:tcPr>
            <w:tcW w:w="9209" w:type="dxa"/>
            <w:shd w:val="clear" w:color="auto" w:fill="DEEAF6" w:themeFill="accent1" w:themeFillTint="33"/>
          </w:tcPr>
          <w:p w:rsidR="00DC2E44" w:rsidRDefault="000E3BBA" w:rsidP="002540D5">
            <w:r>
              <w:t>Pri sestavljanju kolobarja, upoštevajoč razmerje 60 – 40% ornih površin me zanima, ali bo to pri določanju v numeričnem smislu v ZV, matematično popolnoma ostra meja, na m2 natančno?  Ali pa bo obstajala kaka vsaj minimalna toleranca, da v naravi ne bi bilo potrebno s kirurško preciznostjo, na isti njivi risati poljin z različnimi kulturami?"</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0E3BBA" w:rsidP="002540D5">
            <w:r>
              <w:t>Osnovno pravilo kolobarja je menjava posevka vsako leto na vsaki površini. Kjer pa se pojavi potreba po ponavljanju istega posevka na isti površini pa je mejo 60 % potrebno upoštevati. Za izvajanje kolobarja  je predvidena toleranca do 5 % oziroma ne več kot 50 arov.</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0E3BBA">
            <w:pPr>
              <w:pStyle w:val="Odstavekseznama"/>
              <w:numPr>
                <w:ilvl w:val="0"/>
                <w:numId w:val="1"/>
              </w:numPr>
            </w:pPr>
          </w:p>
        </w:tc>
        <w:tc>
          <w:tcPr>
            <w:tcW w:w="9209" w:type="dxa"/>
            <w:shd w:val="clear" w:color="auto" w:fill="DEEAF6" w:themeFill="accent1" w:themeFillTint="33"/>
          </w:tcPr>
          <w:p w:rsidR="00DC2E44" w:rsidRDefault="000E3BBA" w:rsidP="002540D5">
            <w:r>
              <w:t xml:space="preserve">Še vprašanje glede na prejšnjo temo. Glede na to, da bodo </w:t>
            </w:r>
            <w:proofErr w:type="spellStart"/>
            <w:r>
              <w:t>gerki</w:t>
            </w:r>
            <w:proofErr w:type="spellEnd"/>
            <w:r>
              <w:t xml:space="preserve"> "imeli spomine -  obveznosti/ukrepov.. torej če povečam/združim </w:t>
            </w:r>
            <w:proofErr w:type="spellStart"/>
            <w:r>
              <w:t>gerk</w:t>
            </w:r>
            <w:proofErr w:type="spellEnd"/>
            <w:r>
              <w:t xml:space="preserve"> ... na enem delu bomo mogli izvajati "stare" ukrepe, na drugem vstopimo v nove... kakšna bo tu sledljivost, glede na to, da bo to en  (povečan) </w:t>
            </w:r>
            <w:proofErr w:type="spellStart"/>
            <w:r>
              <w:t>gerk</w:t>
            </w:r>
            <w:proofErr w:type="spellEnd"/>
            <w:r>
              <w:t>?</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0E3BBA" w:rsidP="002540D5">
            <w:r>
              <w:t xml:space="preserve">Nimamo </w:t>
            </w:r>
            <w:proofErr w:type="spellStart"/>
            <w:r>
              <w:t>gerkov</w:t>
            </w:r>
            <w:proofErr w:type="spellEnd"/>
            <w:r>
              <w:t xml:space="preserve"> s »spomini«. Če želi nadaljevati s starimi obveznostmi, lahko to naredi samo v delu (razen, če sama operacija zahteva drugače, na primer VOD) ali pa tudi poveča. Pomembno je, da ne zmanjša pod vstopni </w:t>
            </w:r>
            <w:proofErr w:type="spellStart"/>
            <w:r>
              <w:t>prag."V</w:t>
            </w:r>
            <w:proofErr w:type="spellEnd"/>
            <w:r>
              <w:t xml:space="preserve"> kvoto 4% neproizvodnih površin bo pri večjih kmetijah potrebno vključiti tudi praho.</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DC2E44" w:rsidP="002540D5"/>
        </w:tc>
      </w:tr>
      <w:tr w:rsidR="00DC2E44" w:rsidRPr="00CA3D14" w:rsidTr="008A3509">
        <w:trPr>
          <w:trHeight w:val="300"/>
        </w:trPr>
        <w:tc>
          <w:tcPr>
            <w:tcW w:w="1423" w:type="dxa"/>
            <w:shd w:val="clear" w:color="auto" w:fill="auto"/>
          </w:tcPr>
          <w:p w:rsidR="00DC2E44" w:rsidRPr="00CA3D14" w:rsidRDefault="00DC2E44" w:rsidP="000E3BBA">
            <w:pPr>
              <w:pStyle w:val="Odstavekseznama"/>
              <w:numPr>
                <w:ilvl w:val="0"/>
                <w:numId w:val="1"/>
              </w:numPr>
            </w:pPr>
          </w:p>
        </w:tc>
        <w:tc>
          <w:tcPr>
            <w:tcW w:w="9209" w:type="dxa"/>
            <w:shd w:val="clear" w:color="auto" w:fill="DEEAF6" w:themeFill="accent1" w:themeFillTint="33"/>
          </w:tcPr>
          <w:p w:rsidR="00DC2E44" w:rsidRDefault="000E3BBA" w:rsidP="002540D5">
            <w:r>
              <w:t>kako za praho izdelati gnojilni načrt? Kako sestaviti kolobar, da bo vključujoč praho, ustrezal predpisom in seveda kontroli na kraju samem?"</w:t>
            </w:r>
          </w:p>
        </w:tc>
      </w:tr>
      <w:tr w:rsidR="00DC2E44" w:rsidRPr="00CA3D14" w:rsidTr="008A3509">
        <w:trPr>
          <w:trHeight w:val="300"/>
        </w:trPr>
        <w:tc>
          <w:tcPr>
            <w:tcW w:w="1423" w:type="dxa"/>
            <w:shd w:val="clear" w:color="auto" w:fill="auto"/>
          </w:tcPr>
          <w:p w:rsidR="00DC2E44" w:rsidRPr="00CA3D14" w:rsidRDefault="00DC2E44" w:rsidP="00AB04F3">
            <w:pPr>
              <w:ind w:left="360"/>
            </w:pPr>
          </w:p>
        </w:tc>
        <w:tc>
          <w:tcPr>
            <w:tcW w:w="9209" w:type="dxa"/>
          </w:tcPr>
          <w:p w:rsidR="00DC2E44" w:rsidRDefault="000E3BBA" w:rsidP="002540D5">
            <w:r>
              <w:t xml:space="preserve">"Gnojilni načrt je potrebno narediti v skladu s strokovnimi smernicami, kar pomeni upoštevanje rastlin, ki so predvidene za dotični GERK. Enako kolobar. Praha iz naslova pogojenosti  je </w:t>
            </w:r>
            <w:proofErr w:type="spellStart"/>
            <w:r>
              <w:t>lah</w:t>
            </w:r>
            <w:r w:rsidR="008207EB">
              <w:t>F</w:t>
            </w:r>
            <w:r>
              <w:t>ko</w:t>
            </w:r>
            <w:proofErr w:type="spellEnd"/>
            <w:r>
              <w:t xml:space="preserve"> </w:t>
            </w:r>
            <w:proofErr w:type="spellStart"/>
            <w:r>
              <w:t>t.i</w:t>
            </w:r>
            <w:proofErr w:type="spellEnd"/>
            <w:r>
              <w:t>. ""črna praha"" se pravi prazna, neposejana površina (pleveli se ne smejo širiti oz. semeniti), lahko pa je sejana z rastlinami, ki so neproizvodne oz. se ne smejo uporabljati za prehrano ljudi ali živali. Za letos se praha ne izvaja (razen da na površinah namenjenih prahi ne sme biti koruza ali soja), za naprej pa bo pripravljen seznam dovoljenih rastlin za praho."</w:t>
            </w:r>
          </w:p>
        </w:tc>
      </w:tr>
      <w:tr w:rsidR="000E3BBA" w:rsidRPr="00CA3D14" w:rsidTr="008A3509">
        <w:trPr>
          <w:trHeight w:val="300"/>
        </w:trPr>
        <w:tc>
          <w:tcPr>
            <w:tcW w:w="1423" w:type="dxa"/>
            <w:shd w:val="clear" w:color="auto" w:fill="auto"/>
          </w:tcPr>
          <w:p w:rsidR="000E3BBA" w:rsidRPr="00CA3D14" w:rsidRDefault="000E3BBA" w:rsidP="00AB04F3">
            <w:pPr>
              <w:ind w:left="360"/>
            </w:pPr>
          </w:p>
        </w:tc>
        <w:tc>
          <w:tcPr>
            <w:tcW w:w="9209" w:type="dxa"/>
          </w:tcPr>
          <w:p w:rsidR="000E3BBA" w:rsidRDefault="000E3BBA" w:rsidP="002540D5"/>
        </w:tc>
      </w:tr>
      <w:tr w:rsidR="000E3BBA" w:rsidRPr="00CA3D14" w:rsidTr="008A3509">
        <w:trPr>
          <w:trHeight w:val="300"/>
        </w:trPr>
        <w:tc>
          <w:tcPr>
            <w:tcW w:w="1423" w:type="dxa"/>
            <w:shd w:val="clear" w:color="auto" w:fill="auto"/>
          </w:tcPr>
          <w:p w:rsidR="000E3BBA" w:rsidRPr="00CA3D14" w:rsidRDefault="000E3BBA" w:rsidP="000E3BBA">
            <w:pPr>
              <w:pStyle w:val="Odstavekseznama"/>
              <w:numPr>
                <w:ilvl w:val="0"/>
                <w:numId w:val="1"/>
              </w:numPr>
            </w:pPr>
          </w:p>
        </w:tc>
        <w:tc>
          <w:tcPr>
            <w:tcW w:w="9209" w:type="dxa"/>
            <w:shd w:val="clear" w:color="auto" w:fill="DEEAF6" w:themeFill="accent1" w:themeFillTint="33"/>
          </w:tcPr>
          <w:p w:rsidR="000E3BBA" w:rsidRDefault="000E3BBA" w:rsidP="002540D5">
            <w:r>
              <w:t>Varovalni pasovi ob vodotokih ob vodah 1. reda v širini 15 m (Pesnica, Drava, Ščavnica) in 2. reda v širini 5 m (ostali naravni vodotoki – potoki), morajo biti vzpostavljena v skladu z Zakonom o vodah. Ob osuševalnih jarkih širših od 2 m pa morajo biti vzpostavljeni varovalni pasovi v širini 3 m</w:t>
            </w:r>
          </w:p>
        </w:tc>
      </w:tr>
      <w:tr w:rsidR="000E3BBA" w:rsidRPr="00CA3D14" w:rsidTr="008A3509">
        <w:trPr>
          <w:trHeight w:val="300"/>
        </w:trPr>
        <w:tc>
          <w:tcPr>
            <w:tcW w:w="1423" w:type="dxa"/>
            <w:shd w:val="clear" w:color="auto" w:fill="auto"/>
          </w:tcPr>
          <w:p w:rsidR="000E3BBA" w:rsidRPr="00CA3D14" w:rsidRDefault="000E3BBA" w:rsidP="00AB04F3">
            <w:pPr>
              <w:ind w:left="360"/>
            </w:pPr>
          </w:p>
        </w:tc>
        <w:tc>
          <w:tcPr>
            <w:tcW w:w="9209" w:type="dxa"/>
          </w:tcPr>
          <w:p w:rsidR="000E3BBA" w:rsidRDefault="000E3BBA" w:rsidP="002540D5">
            <w:r>
              <w:t>Da. Strogo gledano zakon uporablja izraz priobalna zemljišča, ki se za namen pogojenosti imenujejo varovalni pasovi. Varovalni pasovi ob osuševalnih jarkih so določeni z Uredbo o pravilih pogojenosti.</w:t>
            </w:r>
          </w:p>
        </w:tc>
      </w:tr>
      <w:tr w:rsidR="000E3BBA" w:rsidRPr="00CA3D14" w:rsidTr="008A3509">
        <w:trPr>
          <w:trHeight w:val="300"/>
        </w:trPr>
        <w:tc>
          <w:tcPr>
            <w:tcW w:w="1423" w:type="dxa"/>
            <w:shd w:val="clear" w:color="auto" w:fill="auto"/>
          </w:tcPr>
          <w:p w:rsidR="000E3BBA" w:rsidRPr="00CA3D14" w:rsidRDefault="000E3BBA" w:rsidP="00AB04F3">
            <w:pPr>
              <w:ind w:left="360"/>
            </w:pPr>
          </w:p>
        </w:tc>
        <w:tc>
          <w:tcPr>
            <w:tcW w:w="9209" w:type="dxa"/>
          </w:tcPr>
          <w:p w:rsidR="000E3BBA" w:rsidRDefault="000E3BBA" w:rsidP="002540D5"/>
        </w:tc>
      </w:tr>
      <w:tr w:rsidR="000E3BBA" w:rsidRPr="00CA3D14" w:rsidTr="008A3509">
        <w:trPr>
          <w:trHeight w:val="300"/>
        </w:trPr>
        <w:tc>
          <w:tcPr>
            <w:tcW w:w="1423" w:type="dxa"/>
            <w:shd w:val="clear" w:color="auto" w:fill="auto"/>
          </w:tcPr>
          <w:p w:rsidR="000E3BBA" w:rsidRPr="00CA3D14" w:rsidRDefault="000E3BBA" w:rsidP="000E3BBA">
            <w:pPr>
              <w:pStyle w:val="Odstavekseznama"/>
              <w:numPr>
                <w:ilvl w:val="0"/>
                <w:numId w:val="1"/>
              </w:numPr>
            </w:pPr>
          </w:p>
        </w:tc>
        <w:tc>
          <w:tcPr>
            <w:tcW w:w="9209" w:type="dxa"/>
            <w:shd w:val="clear" w:color="auto" w:fill="DEEAF6" w:themeFill="accent1" w:themeFillTint="33"/>
          </w:tcPr>
          <w:p w:rsidR="000E3BBA" w:rsidRDefault="000E3BBA" w:rsidP="002540D5">
            <w:r>
              <w:t>Zanima me a se bodo strniščni dosevki  intervenciji ZEL lahko upoštevali za praho.</w:t>
            </w:r>
          </w:p>
        </w:tc>
      </w:tr>
      <w:tr w:rsidR="000E3BBA" w:rsidRPr="00CA3D14" w:rsidTr="008A3509">
        <w:trPr>
          <w:trHeight w:val="300"/>
        </w:trPr>
        <w:tc>
          <w:tcPr>
            <w:tcW w:w="1423" w:type="dxa"/>
            <w:shd w:val="clear" w:color="auto" w:fill="auto"/>
          </w:tcPr>
          <w:p w:rsidR="000E3BBA" w:rsidRPr="00CA3D14" w:rsidRDefault="000E3BBA" w:rsidP="00AB04F3">
            <w:pPr>
              <w:ind w:left="360"/>
            </w:pPr>
          </w:p>
        </w:tc>
        <w:tc>
          <w:tcPr>
            <w:tcW w:w="9209" w:type="dxa"/>
          </w:tcPr>
          <w:p w:rsidR="000E3BBA" w:rsidRDefault="000E3BBA" w:rsidP="002540D5">
            <w:r>
              <w:t>Za leto 2023 ni treba izvajati prahe kot neproizvodne površine. Na teh površinah se lahko seje rastline za prehrano ljudi, razen koruze in soje. Za naprej pa je v pripravi seznam rastlin, ki se bodo lahko sejale na površinah namenjenih prahi. Glede na to, da je praha neproizvodni element, ki ni namenjen pridelavi hrane za ljudi ali živali, bo ta seznam temu namenu prilagojen</w:t>
            </w:r>
          </w:p>
        </w:tc>
      </w:tr>
    </w:tbl>
    <w:p w:rsidR="00900AAB" w:rsidRDefault="00900AAB" w:rsidP="000E3B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p>
    <w:sectPr w:rsidR="00900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55DFB"/>
    <w:multiLevelType w:val="hybridMultilevel"/>
    <w:tmpl w:val="A99690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14"/>
    <w:rsid w:val="000A5356"/>
    <w:rsid w:val="000E3BBA"/>
    <w:rsid w:val="001C1DAE"/>
    <w:rsid w:val="002540D5"/>
    <w:rsid w:val="00362A60"/>
    <w:rsid w:val="0042598E"/>
    <w:rsid w:val="0043068C"/>
    <w:rsid w:val="004A538F"/>
    <w:rsid w:val="00557997"/>
    <w:rsid w:val="0070654C"/>
    <w:rsid w:val="00717CD0"/>
    <w:rsid w:val="00747FFD"/>
    <w:rsid w:val="008207EB"/>
    <w:rsid w:val="008321DB"/>
    <w:rsid w:val="008A3509"/>
    <w:rsid w:val="00900AAB"/>
    <w:rsid w:val="009647B5"/>
    <w:rsid w:val="009864BC"/>
    <w:rsid w:val="009B5B9D"/>
    <w:rsid w:val="00A36D30"/>
    <w:rsid w:val="00AB04F3"/>
    <w:rsid w:val="00BA549C"/>
    <w:rsid w:val="00CA3D14"/>
    <w:rsid w:val="00DC2E44"/>
    <w:rsid w:val="00DD34AB"/>
    <w:rsid w:val="00E56EEF"/>
    <w:rsid w:val="00F06A40"/>
    <w:rsid w:val="00FE41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DC50"/>
  <w15:chartTrackingRefBased/>
  <w15:docId w15:val="{2D869B90-591C-401C-A795-EB84D808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A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5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3997">
      <w:bodyDiv w:val="1"/>
      <w:marLeft w:val="0"/>
      <w:marRight w:val="0"/>
      <w:marTop w:val="0"/>
      <w:marBottom w:val="0"/>
      <w:divBdr>
        <w:top w:val="none" w:sz="0" w:space="0" w:color="auto"/>
        <w:left w:val="none" w:sz="0" w:space="0" w:color="auto"/>
        <w:bottom w:val="none" w:sz="0" w:space="0" w:color="auto"/>
        <w:right w:val="none" w:sz="0" w:space="0" w:color="auto"/>
      </w:divBdr>
    </w:div>
    <w:div w:id="955067607">
      <w:bodyDiv w:val="1"/>
      <w:marLeft w:val="0"/>
      <w:marRight w:val="0"/>
      <w:marTop w:val="0"/>
      <w:marBottom w:val="0"/>
      <w:divBdr>
        <w:top w:val="none" w:sz="0" w:space="0" w:color="auto"/>
        <w:left w:val="none" w:sz="0" w:space="0" w:color="auto"/>
        <w:bottom w:val="none" w:sz="0" w:space="0" w:color="auto"/>
        <w:right w:val="none" w:sz="0" w:space="0" w:color="auto"/>
      </w:divBdr>
    </w:div>
    <w:div w:id="1907032336">
      <w:bodyDiv w:val="1"/>
      <w:marLeft w:val="0"/>
      <w:marRight w:val="0"/>
      <w:marTop w:val="0"/>
      <w:marBottom w:val="0"/>
      <w:divBdr>
        <w:top w:val="none" w:sz="0" w:space="0" w:color="auto"/>
        <w:left w:val="none" w:sz="0" w:space="0" w:color="auto"/>
        <w:bottom w:val="none" w:sz="0" w:space="0" w:color="auto"/>
        <w:right w:val="none" w:sz="0" w:space="0" w:color="auto"/>
      </w:divBdr>
    </w:div>
    <w:div w:id="20110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C7F526-3F7A-4B41-9B9B-CEF08D5C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11968</Words>
  <Characters>68224</Characters>
  <Application>Microsoft Office Word</Application>
  <DocSecurity>0</DocSecurity>
  <Lines>568</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Bozovičar</dc:creator>
  <cp:keywords/>
  <dc:description/>
  <cp:lastModifiedBy>Mojca Bozovičar</cp:lastModifiedBy>
  <cp:revision>4</cp:revision>
  <dcterms:created xsi:type="dcterms:W3CDTF">2023-05-08T11:35:00Z</dcterms:created>
  <dcterms:modified xsi:type="dcterms:W3CDTF">2023-05-09T08:51:00Z</dcterms:modified>
</cp:coreProperties>
</file>