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8612"/>
      </w:tblGrid>
      <w:tr w:rsidR="008E19A2" w:rsidRPr="00CB5D01" w:rsidTr="00314A19">
        <w:trPr>
          <w:trHeight w:val="300"/>
        </w:trPr>
        <w:tc>
          <w:tcPr>
            <w:tcW w:w="450" w:type="dxa"/>
            <w:shd w:val="clear" w:color="auto" w:fill="auto"/>
            <w:noWrap/>
          </w:tcPr>
          <w:p w:rsidR="008E19A2" w:rsidRPr="00CB5D01" w:rsidRDefault="008E19A2" w:rsidP="008E19A2">
            <w:pPr>
              <w:rPr>
                <w:sz w:val="21"/>
                <w:szCs w:val="21"/>
              </w:rPr>
            </w:pPr>
          </w:p>
        </w:tc>
        <w:tc>
          <w:tcPr>
            <w:tcW w:w="8612" w:type="dxa"/>
            <w:shd w:val="clear" w:color="auto" w:fill="auto"/>
            <w:noWrap/>
          </w:tcPr>
          <w:p w:rsidR="00314A19" w:rsidRPr="00CB5D01" w:rsidRDefault="00314A19" w:rsidP="00314A19">
            <w:pPr>
              <w:rPr>
                <w:b/>
                <w:sz w:val="21"/>
                <w:szCs w:val="21"/>
              </w:rPr>
            </w:pPr>
            <w:r w:rsidRPr="00CB5D01">
              <w:rPr>
                <w:b/>
                <w:sz w:val="21"/>
                <w:szCs w:val="21"/>
              </w:rPr>
              <w:t>Vprašanja in odgovori zastavljen</w:t>
            </w:r>
            <w:r w:rsidR="00941B57" w:rsidRPr="00CB5D01">
              <w:rPr>
                <w:b/>
                <w:sz w:val="21"/>
                <w:szCs w:val="21"/>
              </w:rPr>
              <w:t>a</w:t>
            </w:r>
            <w:r w:rsidRPr="00CB5D01">
              <w:rPr>
                <w:b/>
                <w:sz w:val="21"/>
                <w:szCs w:val="21"/>
              </w:rPr>
              <w:t xml:space="preserve"> na usposabljanju za kmetijske svetovalce iz v</w:t>
            </w:r>
            <w:r w:rsidR="00BA6297" w:rsidRPr="00CB5D01">
              <w:rPr>
                <w:b/>
                <w:sz w:val="21"/>
                <w:szCs w:val="21"/>
              </w:rPr>
              <w:t>sebin</w:t>
            </w:r>
            <w:r w:rsidR="00941B57" w:rsidRPr="00CB5D01">
              <w:rPr>
                <w:b/>
                <w:sz w:val="21"/>
                <w:szCs w:val="21"/>
              </w:rPr>
              <w:t xml:space="preserve"> IAKS, dne 13.2.2023</w:t>
            </w:r>
          </w:p>
          <w:p w:rsidR="00884C8D" w:rsidRPr="00CB5D01" w:rsidRDefault="00884C8D" w:rsidP="00884C8D">
            <w:pPr>
              <w:rPr>
                <w:b/>
                <w:sz w:val="21"/>
                <w:szCs w:val="21"/>
              </w:rPr>
            </w:pPr>
            <w:r w:rsidRPr="00CB5D01">
              <w:rPr>
                <w:b/>
                <w:sz w:val="21"/>
                <w:szCs w:val="21"/>
              </w:rPr>
              <w:t>Odgovori pripravljeni na MKGP 16.3.23.</w:t>
            </w:r>
          </w:p>
          <w:p w:rsidR="008E19A2" w:rsidRPr="00CB5D01" w:rsidRDefault="008E19A2" w:rsidP="00BA6297">
            <w:pPr>
              <w:rPr>
                <w:sz w:val="21"/>
                <w:szCs w:val="21"/>
              </w:rPr>
            </w:pPr>
          </w:p>
        </w:tc>
      </w:tr>
      <w:tr w:rsidR="00314A19" w:rsidRPr="00CB5D01" w:rsidTr="00314A19">
        <w:trPr>
          <w:trHeight w:val="300"/>
        </w:trPr>
        <w:tc>
          <w:tcPr>
            <w:tcW w:w="450" w:type="dxa"/>
            <w:shd w:val="clear" w:color="auto" w:fill="auto"/>
            <w:noWrap/>
          </w:tcPr>
          <w:p w:rsidR="00314A19" w:rsidRPr="00CB5D01" w:rsidRDefault="00314A19" w:rsidP="008E19A2">
            <w:pPr>
              <w:rPr>
                <w:sz w:val="21"/>
                <w:szCs w:val="21"/>
              </w:rPr>
            </w:pPr>
          </w:p>
        </w:tc>
        <w:tc>
          <w:tcPr>
            <w:tcW w:w="8612" w:type="dxa"/>
            <w:shd w:val="clear" w:color="auto" w:fill="auto"/>
            <w:noWrap/>
          </w:tcPr>
          <w:p w:rsidR="00314A19" w:rsidRPr="00CB5D01" w:rsidRDefault="00314A19" w:rsidP="008E19A2">
            <w:pPr>
              <w:rPr>
                <w:sz w:val="21"/>
                <w:szCs w:val="21"/>
              </w:rPr>
            </w:pPr>
          </w:p>
        </w:tc>
      </w:tr>
      <w:tr w:rsidR="00314A19" w:rsidRPr="00CB5D01" w:rsidTr="008E19A2">
        <w:trPr>
          <w:trHeight w:val="300"/>
        </w:trPr>
        <w:tc>
          <w:tcPr>
            <w:tcW w:w="450" w:type="dxa"/>
            <w:shd w:val="clear" w:color="auto" w:fill="auto"/>
            <w:noWrap/>
          </w:tcPr>
          <w:p w:rsidR="00314A19" w:rsidRPr="00CB5D01" w:rsidRDefault="00314A19" w:rsidP="008E19A2">
            <w:pPr>
              <w:rPr>
                <w:sz w:val="21"/>
                <w:szCs w:val="21"/>
              </w:rPr>
            </w:pPr>
            <w:r w:rsidRPr="00CB5D01">
              <w:rPr>
                <w:sz w:val="21"/>
                <w:szCs w:val="21"/>
              </w:rPr>
              <w:t>1</w:t>
            </w:r>
          </w:p>
        </w:tc>
        <w:tc>
          <w:tcPr>
            <w:tcW w:w="8612" w:type="dxa"/>
            <w:shd w:val="clear" w:color="auto" w:fill="DEEAF6" w:themeFill="accent1" w:themeFillTint="33"/>
            <w:noWrap/>
          </w:tcPr>
          <w:p w:rsidR="00314A19" w:rsidRPr="00CB5D01" w:rsidRDefault="00314A19" w:rsidP="00314A19">
            <w:pPr>
              <w:rPr>
                <w:sz w:val="21"/>
                <w:szCs w:val="21"/>
              </w:rPr>
            </w:pPr>
            <w:r w:rsidRPr="00CB5D01">
              <w:rPr>
                <w:sz w:val="21"/>
                <w:szCs w:val="21"/>
              </w:rPr>
              <w:t xml:space="preserve">Ali se mora pooblaščenec, ki vlaga </w:t>
            </w:r>
            <w:proofErr w:type="spellStart"/>
            <w:r w:rsidRPr="00CB5D01">
              <w:rPr>
                <w:sz w:val="21"/>
                <w:szCs w:val="21"/>
              </w:rPr>
              <w:t>subvencijsko</w:t>
            </w:r>
            <w:proofErr w:type="spellEnd"/>
            <w:r w:rsidRPr="00CB5D01">
              <w:rPr>
                <w:sz w:val="21"/>
                <w:szCs w:val="21"/>
              </w:rPr>
              <w:t xml:space="preserve"> vlogo pri Agenciji registrirati? Kaj to pomeni, oziroma kako se bo registriral?</w:t>
            </w:r>
          </w:p>
        </w:tc>
      </w:tr>
      <w:tr w:rsidR="008E19A2" w:rsidRPr="00CB5D01" w:rsidTr="008E19A2">
        <w:trPr>
          <w:trHeight w:val="285"/>
        </w:trPr>
        <w:tc>
          <w:tcPr>
            <w:tcW w:w="450" w:type="dxa"/>
            <w:shd w:val="clear" w:color="auto" w:fill="auto"/>
            <w:noWrap/>
            <w:hideMark/>
          </w:tcPr>
          <w:p w:rsidR="008E19A2" w:rsidRPr="00CB5D01" w:rsidRDefault="008E19A2">
            <w:pPr>
              <w:rPr>
                <w:sz w:val="21"/>
                <w:szCs w:val="21"/>
              </w:rPr>
            </w:pPr>
            <w:r w:rsidRPr="00CB5D01">
              <w:rPr>
                <w:sz w:val="21"/>
                <w:szCs w:val="21"/>
              </w:rPr>
              <w:t> </w:t>
            </w:r>
          </w:p>
        </w:tc>
        <w:tc>
          <w:tcPr>
            <w:tcW w:w="8612" w:type="dxa"/>
            <w:noWrap/>
            <w:hideMark/>
          </w:tcPr>
          <w:p w:rsidR="008E19A2" w:rsidRPr="00CB5D01" w:rsidRDefault="008E19A2" w:rsidP="008E19A2">
            <w:pPr>
              <w:rPr>
                <w:sz w:val="21"/>
                <w:szCs w:val="21"/>
              </w:rPr>
            </w:pPr>
            <w:r w:rsidRPr="00CB5D01">
              <w:rPr>
                <w:sz w:val="21"/>
                <w:szCs w:val="21"/>
              </w:rPr>
              <w:t>Pošlje obrazec, ki je objavljen na spletni strani ARSKTRP. Način registracije pooblaščencev se glede na pravila iz obdobja 2015-2022 ne spreminja.</w:t>
            </w:r>
          </w:p>
        </w:tc>
      </w:tr>
      <w:tr w:rsidR="008E19A2" w:rsidRPr="00CB5D01" w:rsidTr="008E19A2">
        <w:trPr>
          <w:trHeight w:val="285"/>
        </w:trPr>
        <w:tc>
          <w:tcPr>
            <w:tcW w:w="450" w:type="dxa"/>
            <w:shd w:val="clear" w:color="auto" w:fill="auto"/>
            <w:noWrap/>
          </w:tcPr>
          <w:p w:rsidR="008E19A2" w:rsidRPr="00CB5D01" w:rsidRDefault="008E19A2">
            <w:pPr>
              <w:rPr>
                <w:sz w:val="21"/>
                <w:szCs w:val="21"/>
              </w:rPr>
            </w:pPr>
          </w:p>
        </w:tc>
        <w:tc>
          <w:tcPr>
            <w:tcW w:w="8612" w:type="dxa"/>
            <w:noWrap/>
          </w:tcPr>
          <w:p w:rsidR="008E19A2" w:rsidRPr="00CB5D01" w:rsidRDefault="008E19A2" w:rsidP="008E19A2">
            <w:pPr>
              <w:rPr>
                <w:sz w:val="21"/>
                <w:szCs w:val="21"/>
              </w:rPr>
            </w:pPr>
          </w:p>
        </w:tc>
      </w:tr>
      <w:tr w:rsidR="008E19A2" w:rsidRPr="00CB5D01" w:rsidTr="008E19A2">
        <w:trPr>
          <w:trHeight w:val="300"/>
        </w:trPr>
        <w:tc>
          <w:tcPr>
            <w:tcW w:w="450" w:type="dxa"/>
            <w:shd w:val="clear" w:color="auto" w:fill="auto"/>
            <w:noWrap/>
            <w:hideMark/>
          </w:tcPr>
          <w:p w:rsidR="008E19A2" w:rsidRPr="00CB5D01" w:rsidRDefault="008E19A2" w:rsidP="008E19A2">
            <w:pPr>
              <w:rPr>
                <w:sz w:val="21"/>
                <w:szCs w:val="21"/>
              </w:rPr>
            </w:pPr>
            <w:r w:rsidRPr="00CB5D01">
              <w:rPr>
                <w:sz w:val="21"/>
                <w:szCs w:val="21"/>
              </w:rPr>
              <w:t>2</w:t>
            </w:r>
          </w:p>
        </w:tc>
        <w:tc>
          <w:tcPr>
            <w:tcW w:w="8612" w:type="dxa"/>
            <w:shd w:val="clear" w:color="auto" w:fill="DEEAF6" w:themeFill="accent1" w:themeFillTint="33"/>
            <w:noWrap/>
            <w:hideMark/>
          </w:tcPr>
          <w:p w:rsidR="008E19A2" w:rsidRPr="00CB5D01" w:rsidRDefault="008E19A2" w:rsidP="00314A19">
            <w:pPr>
              <w:rPr>
                <w:sz w:val="21"/>
                <w:szCs w:val="21"/>
              </w:rPr>
            </w:pPr>
            <w:r w:rsidRPr="00CB5D01">
              <w:rPr>
                <w:sz w:val="21"/>
                <w:szCs w:val="21"/>
              </w:rPr>
              <w:t xml:space="preserve">A imamo kmetijski svetovalci dostop do grafične aplikacije </w:t>
            </w:r>
            <w:r w:rsidR="00314A19" w:rsidRPr="00CB5D01">
              <w:rPr>
                <w:sz w:val="21"/>
                <w:szCs w:val="21"/>
              </w:rPr>
              <w:t>GERK</w:t>
            </w:r>
            <w:r w:rsidRPr="00CB5D01">
              <w:rPr>
                <w:sz w:val="21"/>
                <w:szCs w:val="21"/>
              </w:rPr>
              <w:t xml:space="preserve"> kot registriran uporabnik ( ne preko javnega pregledovalnika)</w:t>
            </w:r>
            <w:r w:rsidR="00BA6297" w:rsidRPr="00CB5D01">
              <w:rPr>
                <w:sz w:val="21"/>
                <w:szCs w:val="21"/>
              </w:rPr>
              <w:t>?</w:t>
            </w:r>
          </w:p>
        </w:tc>
      </w:tr>
      <w:tr w:rsidR="008E19A2" w:rsidRPr="00CB5D01" w:rsidTr="008E19A2">
        <w:trPr>
          <w:trHeight w:val="300"/>
        </w:trPr>
        <w:tc>
          <w:tcPr>
            <w:tcW w:w="450" w:type="dxa"/>
            <w:shd w:val="clear" w:color="auto" w:fill="auto"/>
            <w:noWrap/>
            <w:hideMark/>
          </w:tcPr>
          <w:p w:rsidR="008E19A2" w:rsidRPr="00CB5D01" w:rsidRDefault="008E19A2">
            <w:pPr>
              <w:rPr>
                <w:sz w:val="21"/>
                <w:szCs w:val="21"/>
              </w:rPr>
            </w:pPr>
            <w:r w:rsidRPr="00CB5D01">
              <w:rPr>
                <w:sz w:val="21"/>
                <w:szCs w:val="21"/>
              </w:rPr>
              <w:t> </w:t>
            </w:r>
          </w:p>
        </w:tc>
        <w:tc>
          <w:tcPr>
            <w:tcW w:w="8612" w:type="dxa"/>
            <w:noWrap/>
            <w:hideMark/>
          </w:tcPr>
          <w:p w:rsidR="008E19A2" w:rsidRPr="00CB5D01" w:rsidRDefault="008E19A2" w:rsidP="008E19A2">
            <w:pPr>
              <w:rPr>
                <w:sz w:val="21"/>
                <w:szCs w:val="21"/>
              </w:rPr>
            </w:pPr>
            <w:r w:rsidRPr="00CB5D01">
              <w:rPr>
                <w:sz w:val="21"/>
                <w:szCs w:val="21"/>
              </w:rPr>
              <w:t>Kmetijski svetovalci imajo dostop do grafične aplikacije RKG.</w:t>
            </w:r>
          </w:p>
        </w:tc>
      </w:tr>
      <w:tr w:rsidR="008E19A2" w:rsidRPr="00CB5D01" w:rsidTr="008E19A2">
        <w:trPr>
          <w:trHeight w:val="300"/>
        </w:trPr>
        <w:tc>
          <w:tcPr>
            <w:tcW w:w="450" w:type="dxa"/>
            <w:shd w:val="clear" w:color="auto" w:fill="auto"/>
            <w:noWrap/>
          </w:tcPr>
          <w:p w:rsidR="008E19A2" w:rsidRPr="00CB5D01" w:rsidRDefault="008E19A2">
            <w:pPr>
              <w:rPr>
                <w:sz w:val="21"/>
                <w:szCs w:val="21"/>
              </w:rPr>
            </w:pPr>
          </w:p>
        </w:tc>
        <w:tc>
          <w:tcPr>
            <w:tcW w:w="8612" w:type="dxa"/>
            <w:noWrap/>
          </w:tcPr>
          <w:p w:rsidR="008E19A2" w:rsidRPr="00CB5D01" w:rsidRDefault="008E19A2" w:rsidP="008E19A2">
            <w:pPr>
              <w:rPr>
                <w:sz w:val="21"/>
                <w:szCs w:val="21"/>
              </w:rPr>
            </w:pPr>
          </w:p>
        </w:tc>
      </w:tr>
      <w:tr w:rsidR="008E19A2" w:rsidRPr="00CB5D01" w:rsidTr="008E19A2">
        <w:trPr>
          <w:trHeight w:val="300"/>
        </w:trPr>
        <w:tc>
          <w:tcPr>
            <w:tcW w:w="450" w:type="dxa"/>
            <w:shd w:val="clear" w:color="auto" w:fill="auto"/>
            <w:noWrap/>
            <w:hideMark/>
          </w:tcPr>
          <w:p w:rsidR="008E19A2" w:rsidRPr="00CB5D01" w:rsidRDefault="008E19A2" w:rsidP="008E19A2">
            <w:pPr>
              <w:rPr>
                <w:sz w:val="21"/>
                <w:szCs w:val="21"/>
              </w:rPr>
            </w:pPr>
            <w:r w:rsidRPr="00CB5D01">
              <w:rPr>
                <w:sz w:val="21"/>
                <w:szCs w:val="21"/>
              </w:rPr>
              <w:t>3</w:t>
            </w:r>
          </w:p>
        </w:tc>
        <w:tc>
          <w:tcPr>
            <w:tcW w:w="8612" w:type="dxa"/>
            <w:shd w:val="clear" w:color="auto" w:fill="DEEAF6" w:themeFill="accent1" w:themeFillTint="33"/>
            <w:noWrap/>
            <w:hideMark/>
          </w:tcPr>
          <w:p w:rsidR="008E19A2" w:rsidRPr="00CB5D01" w:rsidRDefault="008E19A2">
            <w:pPr>
              <w:rPr>
                <w:sz w:val="21"/>
                <w:szCs w:val="21"/>
              </w:rPr>
            </w:pPr>
            <w:r w:rsidRPr="00CB5D01">
              <w:rPr>
                <w:sz w:val="21"/>
                <w:szCs w:val="21"/>
              </w:rPr>
              <w:t>Ali bo Pravilnik za uporabo SOPOTNIKA, ki je bil sprejet v decembru 23 še posebej predstavljen kmetijskim svetovalcem?</w:t>
            </w:r>
          </w:p>
        </w:tc>
      </w:tr>
      <w:tr w:rsidR="008E19A2" w:rsidRPr="00CB5D01" w:rsidTr="008E19A2">
        <w:trPr>
          <w:trHeight w:val="300"/>
        </w:trPr>
        <w:tc>
          <w:tcPr>
            <w:tcW w:w="450" w:type="dxa"/>
            <w:shd w:val="clear" w:color="auto" w:fill="auto"/>
            <w:noWrap/>
            <w:hideMark/>
          </w:tcPr>
          <w:p w:rsidR="008E19A2" w:rsidRPr="00CB5D01" w:rsidRDefault="008E19A2">
            <w:pPr>
              <w:rPr>
                <w:sz w:val="21"/>
                <w:szCs w:val="21"/>
              </w:rPr>
            </w:pPr>
            <w:r w:rsidRPr="00CB5D01">
              <w:rPr>
                <w:sz w:val="21"/>
                <w:szCs w:val="21"/>
              </w:rPr>
              <w:t> </w:t>
            </w:r>
          </w:p>
        </w:tc>
        <w:tc>
          <w:tcPr>
            <w:tcW w:w="8612" w:type="dxa"/>
            <w:noWrap/>
            <w:hideMark/>
          </w:tcPr>
          <w:p w:rsidR="008E19A2" w:rsidRPr="00CB5D01" w:rsidRDefault="008E19A2" w:rsidP="008E19A2">
            <w:pPr>
              <w:rPr>
                <w:sz w:val="21"/>
                <w:szCs w:val="21"/>
              </w:rPr>
            </w:pPr>
            <w:r w:rsidRPr="00CB5D01">
              <w:rPr>
                <w:sz w:val="21"/>
                <w:szCs w:val="21"/>
              </w:rPr>
              <w:t>Da.</w:t>
            </w:r>
          </w:p>
        </w:tc>
      </w:tr>
      <w:tr w:rsidR="008E19A2" w:rsidRPr="00CB5D01" w:rsidTr="008E19A2">
        <w:trPr>
          <w:trHeight w:val="300"/>
        </w:trPr>
        <w:tc>
          <w:tcPr>
            <w:tcW w:w="450" w:type="dxa"/>
            <w:shd w:val="clear" w:color="auto" w:fill="auto"/>
            <w:noWrap/>
          </w:tcPr>
          <w:p w:rsidR="008E19A2" w:rsidRPr="00CB5D01" w:rsidRDefault="008E19A2">
            <w:pPr>
              <w:rPr>
                <w:sz w:val="21"/>
                <w:szCs w:val="21"/>
              </w:rPr>
            </w:pPr>
          </w:p>
        </w:tc>
        <w:tc>
          <w:tcPr>
            <w:tcW w:w="8612" w:type="dxa"/>
            <w:noWrap/>
          </w:tcPr>
          <w:p w:rsidR="008E19A2" w:rsidRPr="00CB5D01" w:rsidRDefault="008E19A2" w:rsidP="008E19A2">
            <w:pPr>
              <w:rPr>
                <w:sz w:val="21"/>
                <w:szCs w:val="21"/>
              </w:rPr>
            </w:pPr>
          </w:p>
        </w:tc>
      </w:tr>
      <w:tr w:rsidR="008E19A2" w:rsidRPr="00CB5D01" w:rsidTr="008E19A2">
        <w:trPr>
          <w:trHeight w:val="300"/>
        </w:trPr>
        <w:tc>
          <w:tcPr>
            <w:tcW w:w="450" w:type="dxa"/>
            <w:shd w:val="clear" w:color="auto" w:fill="auto"/>
            <w:noWrap/>
            <w:hideMark/>
          </w:tcPr>
          <w:p w:rsidR="008E19A2" w:rsidRPr="00CB5D01" w:rsidRDefault="008E19A2" w:rsidP="008E19A2">
            <w:pPr>
              <w:rPr>
                <w:sz w:val="21"/>
                <w:szCs w:val="21"/>
              </w:rPr>
            </w:pPr>
            <w:r w:rsidRPr="00CB5D01">
              <w:rPr>
                <w:sz w:val="21"/>
                <w:szCs w:val="21"/>
              </w:rPr>
              <w:t>4</w:t>
            </w:r>
          </w:p>
        </w:tc>
        <w:tc>
          <w:tcPr>
            <w:tcW w:w="8612" w:type="dxa"/>
            <w:shd w:val="clear" w:color="auto" w:fill="DEEAF6" w:themeFill="accent1" w:themeFillTint="33"/>
            <w:noWrap/>
            <w:hideMark/>
          </w:tcPr>
          <w:p w:rsidR="008E19A2" w:rsidRPr="00CB5D01" w:rsidRDefault="008E19A2">
            <w:pPr>
              <w:rPr>
                <w:sz w:val="21"/>
                <w:szCs w:val="21"/>
              </w:rPr>
            </w:pPr>
            <w:r w:rsidRPr="00CB5D01">
              <w:rPr>
                <w:sz w:val="21"/>
                <w:szCs w:val="21"/>
              </w:rPr>
              <w:t>Ali bo za oddajo živinskih gnojil obrazec enak oz. podoben kot sedaj? Ali bo potrebno oddajati tudi obrazec dejanske oddaje s podpisoma oddajalca in prejemnika?</w:t>
            </w:r>
          </w:p>
        </w:tc>
      </w:tr>
      <w:tr w:rsidR="008E19A2" w:rsidRPr="00CB5D01" w:rsidTr="008E19A2">
        <w:trPr>
          <w:trHeight w:val="300"/>
        </w:trPr>
        <w:tc>
          <w:tcPr>
            <w:tcW w:w="450" w:type="dxa"/>
            <w:shd w:val="clear" w:color="auto" w:fill="auto"/>
            <w:noWrap/>
            <w:hideMark/>
          </w:tcPr>
          <w:p w:rsidR="008E19A2" w:rsidRPr="00CB5D01" w:rsidRDefault="008E19A2">
            <w:pPr>
              <w:rPr>
                <w:sz w:val="21"/>
                <w:szCs w:val="21"/>
              </w:rPr>
            </w:pPr>
            <w:r w:rsidRPr="00CB5D01">
              <w:rPr>
                <w:sz w:val="21"/>
                <w:szCs w:val="21"/>
              </w:rPr>
              <w:t> </w:t>
            </w:r>
          </w:p>
        </w:tc>
        <w:tc>
          <w:tcPr>
            <w:tcW w:w="8612" w:type="dxa"/>
            <w:noWrap/>
            <w:hideMark/>
          </w:tcPr>
          <w:p w:rsidR="008E19A2" w:rsidRPr="00CB5D01" w:rsidRDefault="008E19A2" w:rsidP="008E19A2">
            <w:pPr>
              <w:rPr>
                <w:sz w:val="21"/>
                <w:szCs w:val="21"/>
              </w:rPr>
            </w:pPr>
            <w:r w:rsidRPr="00CB5D01">
              <w:rPr>
                <w:sz w:val="21"/>
                <w:szCs w:val="21"/>
              </w:rPr>
              <w:t>Sistem bo enak, kot je bil do zdaj.</w:t>
            </w:r>
          </w:p>
        </w:tc>
      </w:tr>
      <w:tr w:rsidR="008E19A2" w:rsidRPr="00CB5D01" w:rsidTr="008E19A2">
        <w:trPr>
          <w:trHeight w:val="300"/>
        </w:trPr>
        <w:tc>
          <w:tcPr>
            <w:tcW w:w="450" w:type="dxa"/>
            <w:shd w:val="clear" w:color="auto" w:fill="auto"/>
            <w:noWrap/>
          </w:tcPr>
          <w:p w:rsidR="008E19A2" w:rsidRPr="00CB5D01" w:rsidRDefault="008E19A2">
            <w:pPr>
              <w:rPr>
                <w:sz w:val="21"/>
                <w:szCs w:val="21"/>
              </w:rPr>
            </w:pPr>
          </w:p>
        </w:tc>
        <w:tc>
          <w:tcPr>
            <w:tcW w:w="8612" w:type="dxa"/>
            <w:noWrap/>
          </w:tcPr>
          <w:p w:rsidR="008E19A2" w:rsidRPr="00CB5D01" w:rsidRDefault="008E19A2" w:rsidP="008E19A2">
            <w:pPr>
              <w:rPr>
                <w:sz w:val="21"/>
                <w:szCs w:val="21"/>
              </w:rPr>
            </w:pPr>
          </w:p>
        </w:tc>
      </w:tr>
      <w:tr w:rsidR="008E19A2" w:rsidRPr="00CB5D01" w:rsidTr="008E19A2">
        <w:trPr>
          <w:trHeight w:val="300"/>
        </w:trPr>
        <w:tc>
          <w:tcPr>
            <w:tcW w:w="450" w:type="dxa"/>
            <w:shd w:val="clear" w:color="auto" w:fill="auto"/>
            <w:noWrap/>
            <w:hideMark/>
          </w:tcPr>
          <w:p w:rsidR="008E19A2" w:rsidRPr="00CB5D01" w:rsidRDefault="008E19A2" w:rsidP="008E19A2">
            <w:pPr>
              <w:rPr>
                <w:sz w:val="21"/>
                <w:szCs w:val="21"/>
              </w:rPr>
            </w:pPr>
            <w:r w:rsidRPr="00CB5D01">
              <w:rPr>
                <w:sz w:val="21"/>
                <w:szCs w:val="21"/>
              </w:rPr>
              <w:t>5</w:t>
            </w:r>
          </w:p>
        </w:tc>
        <w:tc>
          <w:tcPr>
            <w:tcW w:w="8612" w:type="dxa"/>
            <w:shd w:val="clear" w:color="auto" w:fill="DEEAF6" w:themeFill="accent1" w:themeFillTint="33"/>
            <w:noWrap/>
            <w:hideMark/>
          </w:tcPr>
          <w:p w:rsidR="008E19A2" w:rsidRPr="00CB5D01" w:rsidRDefault="008E19A2">
            <w:pPr>
              <w:rPr>
                <w:sz w:val="21"/>
                <w:szCs w:val="21"/>
              </w:rPr>
            </w:pPr>
            <w:r w:rsidRPr="00CB5D01">
              <w:rPr>
                <w:sz w:val="21"/>
                <w:szCs w:val="21"/>
              </w:rPr>
              <w:t>Ali bo zapisnik za pašo na planini za AS deloval za drobnico enako kot je odsedaj za govedo. Veterinar vpiše vse številke drobnice in mi samo prenesemo podatke na zapisnik?</w:t>
            </w:r>
          </w:p>
        </w:tc>
        <w:bookmarkStart w:id="0" w:name="_GoBack"/>
        <w:bookmarkEnd w:id="0"/>
      </w:tr>
      <w:tr w:rsidR="008E19A2" w:rsidRPr="00CB5D01" w:rsidTr="008E19A2">
        <w:trPr>
          <w:trHeight w:val="300"/>
        </w:trPr>
        <w:tc>
          <w:tcPr>
            <w:tcW w:w="450" w:type="dxa"/>
            <w:shd w:val="clear" w:color="auto" w:fill="auto"/>
            <w:noWrap/>
            <w:hideMark/>
          </w:tcPr>
          <w:p w:rsidR="008E19A2" w:rsidRPr="00CB5D01" w:rsidRDefault="008E19A2">
            <w:pPr>
              <w:rPr>
                <w:sz w:val="21"/>
                <w:szCs w:val="21"/>
              </w:rPr>
            </w:pPr>
            <w:r w:rsidRPr="00CB5D01">
              <w:rPr>
                <w:sz w:val="21"/>
                <w:szCs w:val="21"/>
              </w:rPr>
              <w:t> </w:t>
            </w:r>
          </w:p>
        </w:tc>
        <w:tc>
          <w:tcPr>
            <w:tcW w:w="8612" w:type="dxa"/>
            <w:noWrap/>
            <w:hideMark/>
          </w:tcPr>
          <w:p w:rsidR="008E19A2" w:rsidRPr="00CB5D01" w:rsidRDefault="008E19A2" w:rsidP="008E19A2">
            <w:pPr>
              <w:rPr>
                <w:sz w:val="21"/>
                <w:szCs w:val="21"/>
              </w:rPr>
            </w:pPr>
            <w:r w:rsidRPr="00CB5D01">
              <w:rPr>
                <w:sz w:val="21"/>
                <w:szCs w:val="21"/>
              </w:rPr>
              <w:t xml:space="preserve">Da, za drobnico bo prehod na planino ali skupni pašnik urejen na način, kot velja za govedo. Bodite pozorni na Obrazec Zapisnik o pregonu živali na planino oz. skupni pašnik, kjer je naslednje opozorilo: Z izpolnjenim izvodom tega obrazca, ki ga oddate pooblaščeni veterinarski organizaciji, priglasite v centralni register goveda premik goveda na planino ali skupni pašnik, v centralni register drobnice pa premik drobnice na planino ali skupni pašnik. V skladu s predpisi je rok za priglasitev premikov goveda petnajst (15) dni po pregonu goveda na pašo. POZOR: v skladu s predpisi je rok za priglasitev premikov drobnice sedem (7) dni po pregonu drobnice na pašo.   </w:t>
            </w:r>
          </w:p>
        </w:tc>
      </w:tr>
      <w:tr w:rsidR="008E19A2" w:rsidRPr="00CB5D01" w:rsidTr="008E19A2">
        <w:trPr>
          <w:trHeight w:val="300"/>
        </w:trPr>
        <w:tc>
          <w:tcPr>
            <w:tcW w:w="450" w:type="dxa"/>
            <w:shd w:val="clear" w:color="auto" w:fill="auto"/>
            <w:noWrap/>
          </w:tcPr>
          <w:p w:rsidR="008E19A2" w:rsidRPr="00CB5D01" w:rsidRDefault="008E19A2">
            <w:pPr>
              <w:rPr>
                <w:sz w:val="21"/>
                <w:szCs w:val="21"/>
              </w:rPr>
            </w:pPr>
          </w:p>
        </w:tc>
        <w:tc>
          <w:tcPr>
            <w:tcW w:w="8612" w:type="dxa"/>
            <w:noWrap/>
          </w:tcPr>
          <w:p w:rsidR="008E19A2" w:rsidRPr="00CB5D01" w:rsidRDefault="008E19A2" w:rsidP="008E19A2">
            <w:pPr>
              <w:rPr>
                <w:sz w:val="21"/>
                <w:szCs w:val="21"/>
              </w:rPr>
            </w:pPr>
          </w:p>
        </w:tc>
      </w:tr>
      <w:tr w:rsidR="008E19A2" w:rsidRPr="00CB5D01" w:rsidTr="008E19A2">
        <w:trPr>
          <w:trHeight w:val="300"/>
        </w:trPr>
        <w:tc>
          <w:tcPr>
            <w:tcW w:w="450" w:type="dxa"/>
            <w:shd w:val="clear" w:color="auto" w:fill="auto"/>
            <w:noWrap/>
            <w:hideMark/>
          </w:tcPr>
          <w:p w:rsidR="008E19A2" w:rsidRPr="00CB5D01" w:rsidRDefault="008E19A2" w:rsidP="008E19A2">
            <w:pPr>
              <w:rPr>
                <w:sz w:val="21"/>
                <w:szCs w:val="21"/>
              </w:rPr>
            </w:pPr>
            <w:r w:rsidRPr="00CB5D01">
              <w:rPr>
                <w:sz w:val="21"/>
                <w:szCs w:val="21"/>
              </w:rPr>
              <w:t>6</w:t>
            </w:r>
          </w:p>
        </w:tc>
        <w:tc>
          <w:tcPr>
            <w:tcW w:w="8612" w:type="dxa"/>
            <w:shd w:val="clear" w:color="auto" w:fill="DEEAF6" w:themeFill="accent1" w:themeFillTint="33"/>
            <w:noWrap/>
            <w:hideMark/>
          </w:tcPr>
          <w:p w:rsidR="008E19A2" w:rsidRPr="00CB5D01" w:rsidRDefault="008E19A2">
            <w:pPr>
              <w:rPr>
                <w:sz w:val="21"/>
                <w:szCs w:val="21"/>
              </w:rPr>
            </w:pPr>
            <w:r w:rsidRPr="00CB5D01">
              <w:rPr>
                <w:sz w:val="21"/>
                <w:szCs w:val="21"/>
              </w:rPr>
              <w:t xml:space="preserve">Ali je mogoče pri urejanju GERKOV, za uskladitev stanja v naravi popraviti rabo in s tem zmanjšati za nekaj kvadratnih metrov </w:t>
            </w:r>
            <w:r w:rsidR="00BA6297" w:rsidRPr="00CB5D01">
              <w:rPr>
                <w:sz w:val="21"/>
                <w:szCs w:val="21"/>
              </w:rPr>
              <w:t>površino OOTT (vrati ob njivah)?</w:t>
            </w:r>
          </w:p>
        </w:tc>
      </w:tr>
      <w:tr w:rsidR="008E19A2" w:rsidRPr="00CB5D01" w:rsidTr="008E19A2">
        <w:trPr>
          <w:trHeight w:val="300"/>
        </w:trPr>
        <w:tc>
          <w:tcPr>
            <w:tcW w:w="450" w:type="dxa"/>
            <w:shd w:val="clear" w:color="auto" w:fill="auto"/>
            <w:noWrap/>
            <w:hideMark/>
          </w:tcPr>
          <w:p w:rsidR="008E19A2" w:rsidRPr="00CB5D01" w:rsidRDefault="008E19A2">
            <w:pPr>
              <w:rPr>
                <w:sz w:val="21"/>
                <w:szCs w:val="21"/>
              </w:rPr>
            </w:pPr>
            <w:r w:rsidRPr="00CB5D01">
              <w:rPr>
                <w:sz w:val="21"/>
                <w:szCs w:val="21"/>
              </w:rPr>
              <w:t> </w:t>
            </w:r>
          </w:p>
        </w:tc>
        <w:tc>
          <w:tcPr>
            <w:tcW w:w="8612" w:type="dxa"/>
            <w:noWrap/>
            <w:hideMark/>
          </w:tcPr>
          <w:p w:rsidR="008E19A2" w:rsidRPr="00CB5D01" w:rsidRDefault="008E19A2" w:rsidP="008E19A2">
            <w:pPr>
              <w:rPr>
                <w:sz w:val="21"/>
                <w:szCs w:val="21"/>
              </w:rPr>
            </w:pPr>
            <w:r w:rsidRPr="00CB5D01">
              <w:rPr>
                <w:sz w:val="21"/>
                <w:szCs w:val="21"/>
              </w:rPr>
              <w:t>Kadar je popravek take narave, da usklajuje stanje v naravi, se GERK mora uskladiti.</w:t>
            </w:r>
          </w:p>
        </w:tc>
      </w:tr>
      <w:tr w:rsidR="008E19A2" w:rsidRPr="00CB5D01" w:rsidTr="008E19A2">
        <w:trPr>
          <w:trHeight w:val="300"/>
        </w:trPr>
        <w:tc>
          <w:tcPr>
            <w:tcW w:w="450" w:type="dxa"/>
            <w:shd w:val="clear" w:color="auto" w:fill="auto"/>
            <w:noWrap/>
          </w:tcPr>
          <w:p w:rsidR="008E19A2" w:rsidRPr="00CB5D01" w:rsidRDefault="008E19A2">
            <w:pPr>
              <w:rPr>
                <w:sz w:val="21"/>
                <w:szCs w:val="21"/>
              </w:rPr>
            </w:pPr>
          </w:p>
        </w:tc>
        <w:tc>
          <w:tcPr>
            <w:tcW w:w="8612" w:type="dxa"/>
            <w:noWrap/>
          </w:tcPr>
          <w:p w:rsidR="008E19A2" w:rsidRPr="00CB5D01" w:rsidRDefault="008E19A2" w:rsidP="008E19A2">
            <w:pPr>
              <w:rPr>
                <w:sz w:val="21"/>
                <w:szCs w:val="21"/>
              </w:rPr>
            </w:pPr>
          </w:p>
        </w:tc>
      </w:tr>
      <w:tr w:rsidR="008E19A2" w:rsidRPr="00CB5D01" w:rsidTr="008E19A2">
        <w:trPr>
          <w:trHeight w:val="300"/>
        </w:trPr>
        <w:tc>
          <w:tcPr>
            <w:tcW w:w="450" w:type="dxa"/>
            <w:shd w:val="clear" w:color="auto" w:fill="auto"/>
            <w:noWrap/>
            <w:hideMark/>
          </w:tcPr>
          <w:p w:rsidR="008E19A2" w:rsidRPr="00CB5D01" w:rsidRDefault="008E19A2" w:rsidP="008E19A2">
            <w:pPr>
              <w:rPr>
                <w:sz w:val="21"/>
                <w:szCs w:val="21"/>
              </w:rPr>
            </w:pPr>
            <w:r w:rsidRPr="00CB5D01">
              <w:rPr>
                <w:sz w:val="21"/>
                <w:szCs w:val="21"/>
              </w:rPr>
              <w:t>7</w:t>
            </w:r>
          </w:p>
        </w:tc>
        <w:tc>
          <w:tcPr>
            <w:tcW w:w="8612" w:type="dxa"/>
            <w:shd w:val="clear" w:color="auto" w:fill="DEEAF6" w:themeFill="accent1" w:themeFillTint="33"/>
            <w:noWrap/>
            <w:hideMark/>
          </w:tcPr>
          <w:p w:rsidR="008E19A2" w:rsidRPr="00CB5D01" w:rsidRDefault="008E19A2">
            <w:pPr>
              <w:rPr>
                <w:sz w:val="21"/>
                <w:szCs w:val="21"/>
              </w:rPr>
            </w:pPr>
            <w:r w:rsidRPr="00CB5D01">
              <w:rPr>
                <w:sz w:val="21"/>
                <w:szCs w:val="21"/>
              </w:rPr>
              <w:t>Ali je v uredbi IACS tudi določeno, kako boste izračunavali povprečno obremenitev npr. za SOPO -  ekstenzivno travinje, tradicionalna raba travinja,....Namreč pri predstavitvi SOPO je bil to večji problem</w:t>
            </w:r>
            <w:r w:rsidR="00BA6297" w:rsidRPr="00CB5D01">
              <w:rPr>
                <w:sz w:val="21"/>
                <w:szCs w:val="21"/>
              </w:rPr>
              <w:t>?</w:t>
            </w:r>
          </w:p>
        </w:tc>
      </w:tr>
      <w:tr w:rsidR="008E19A2" w:rsidRPr="00CB5D01" w:rsidTr="008E19A2">
        <w:trPr>
          <w:trHeight w:val="300"/>
        </w:trPr>
        <w:tc>
          <w:tcPr>
            <w:tcW w:w="450" w:type="dxa"/>
            <w:shd w:val="clear" w:color="auto" w:fill="auto"/>
            <w:noWrap/>
            <w:hideMark/>
          </w:tcPr>
          <w:p w:rsidR="008E19A2" w:rsidRPr="00CB5D01" w:rsidRDefault="008E19A2">
            <w:pPr>
              <w:rPr>
                <w:sz w:val="21"/>
                <w:szCs w:val="21"/>
              </w:rPr>
            </w:pPr>
            <w:r w:rsidRPr="00CB5D01">
              <w:rPr>
                <w:sz w:val="21"/>
                <w:szCs w:val="21"/>
              </w:rPr>
              <w:t> </w:t>
            </w:r>
          </w:p>
        </w:tc>
        <w:tc>
          <w:tcPr>
            <w:tcW w:w="8612" w:type="dxa"/>
            <w:noWrap/>
            <w:hideMark/>
          </w:tcPr>
          <w:p w:rsidR="008E19A2" w:rsidRPr="00CB5D01" w:rsidRDefault="008E19A2" w:rsidP="008E19A2">
            <w:pPr>
              <w:rPr>
                <w:sz w:val="21"/>
                <w:szCs w:val="21"/>
              </w:rPr>
            </w:pPr>
            <w:r w:rsidRPr="00CB5D01">
              <w:rPr>
                <w:sz w:val="21"/>
                <w:szCs w:val="21"/>
              </w:rPr>
              <w:t>Izračuni so opredeljeni v vsebinskih uredbah. Za primer SOPO v Uredbi o neposrednih plačilih iz strateškega načrta skupne kmetijske politike 2023-2027.</w:t>
            </w:r>
          </w:p>
        </w:tc>
      </w:tr>
      <w:tr w:rsidR="008E19A2" w:rsidRPr="00CB5D01" w:rsidTr="008E19A2">
        <w:trPr>
          <w:trHeight w:val="300"/>
        </w:trPr>
        <w:tc>
          <w:tcPr>
            <w:tcW w:w="450" w:type="dxa"/>
            <w:shd w:val="clear" w:color="auto" w:fill="auto"/>
            <w:noWrap/>
          </w:tcPr>
          <w:p w:rsidR="008E19A2" w:rsidRPr="00CB5D01" w:rsidRDefault="008E19A2">
            <w:pPr>
              <w:rPr>
                <w:sz w:val="21"/>
                <w:szCs w:val="21"/>
              </w:rPr>
            </w:pPr>
          </w:p>
        </w:tc>
        <w:tc>
          <w:tcPr>
            <w:tcW w:w="8612" w:type="dxa"/>
            <w:noWrap/>
          </w:tcPr>
          <w:p w:rsidR="008E19A2" w:rsidRPr="00CB5D01" w:rsidRDefault="008E19A2" w:rsidP="008E19A2">
            <w:pPr>
              <w:rPr>
                <w:sz w:val="21"/>
                <w:szCs w:val="21"/>
              </w:rPr>
            </w:pPr>
          </w:p>
        </w:tc>
      </w:tr>
      <w:tr w:rsidR="008E19A2" w:rsidRPr="00CB5D01" w:rsidTr="008E19A2">
        <w:trPr>
          <w:trHeight w:val="300"/>
        </w:trPr>
        <w:tc>
          <w:tcPr>
            <w:tcW w:w="450" w:type="dxa"/>
            <w:shd w:val="clear" w:color="auto" w:fill="auto"/>
            <w:noWrap/>
            <w:hideMark/>
          </w:tcPr>
          <w:p w:rsidR="008E19A2" w:rsidRPr="00CB5D01" w:rsidRDefault="008E19A2" w:rsidP="008E19A2">
            <w:pPr>
              <w:rPr>
                <w:sz w:val="21"/>
                <w:szCs w:val="21"/>
              </w:rPr>
            </w:pPr>
            <w:r w:rsidRPr="00CB5D01">
              <w:rPr>
                <w:sz w:val="21"/>
                <w:szCs w:val="21"/>
              </w:rPr>
              <w:t>8</w:t>
            </w:r>
          </w:p>
        </w:tc>
        <w:tc>
          <w:tcPr>
            <w:tcW w:w="8612" w:type="dxa"/>
            <w:shd w:val="clear" w:color="auto" w:fill="DEEAF6" w:themeFill="accent1" w:themeFillTint="33"/>
            <w:noWrap/>
            <w:hideMark/>
          </w:tcPr>
          <w:p w:rsidR="008E19A2" w:rsidRPr="00CB5D01" w:rsidRDefault="008E19A2">
            <w:pPr>
              <w:rPr>
                <w:sz w:val="21"/>
                <w:szCs w:val="21"/>
              </w:rPr>
            </w:pPr>
            <w:r w:rsidRPr="00CB5D01">
              <w:rPr>
                <w:sz w:val="21"/>
                <w:szCs w:val="21"/>
              </w:rPr>
              <w:t>Ali lahko na kratko opišete kdo se mora vpisati v register pridelovalcev zelenjave? Kako je s poljedelsko-vrtnarskim kolobarjem?</w:t>
            </w:r>
          </w:p>
        </w:tc>
      </w:tr>
      <w:tr w:rsidR="008E19A2" w:rsidRPr="00CB5D01" w:rsidTr="008E19A2">
        <w:trPr>
          <w:trHeight w:val="300"/>
        </w:trPr>
        <w:tc>
          <w:tcPr>
            <w:tcW w:w="450" w:type="dxa"/>
            <w:shd w:val="clear" w:color="auto" w:fill="auto"/>
            <w:noWrap/>
            <w:hideMark/>
          </w:tcPr>
          <w:p w:rsidR="008E19A2" w:rsidRPr="00CB5D01" w:rsidRDefault="008E19A2">
            <w:pPr>
              <w:rPr>
                <w:sz w:val="21"/>
                <w:szCs w:val="21"/>
              </w:rPr>
            </w:pPr>
            <w:r w:rsidRPr="00CB5D01">
              <w:rPr>
                <w:sz w:val="21"/>
                <w:szCs w:val="21"/>
              </w:rPr>
              <w:t> </w:t>
            </w:r>
          </w:p>
        </w:tc>
        <w:tc>
          <w:tcPr>
            <w:tcW w:w="8612" w:type="dxa"/>
            <w:noWrap/>
            <w:hideMark/>
          </w:tcPr>
          <w:p w:rsidR="008E19A2" w:rsidRPr="00CB5D01" w:rsidRDefault="008E19A2" w:rsidP="008E19A2">
            <w:pPr>
              <w:rPr>
                <w:sz w:val="21"/>
                <w:szCs w:val="21"/>
              </w:rPr>
            </w:pPr>
            <w:r w:rsidRPr="00CB5D01">
              <w:rPr>
                <w:sz w:val="21"/>
                <w:szCs w:val="21"/>
              </w:rPr>
              <w:t>Zavezanec za vpis v evidenco pridelovalcev zelenjave in zelišč je nosilec, ki v tekočem koledarskem letu na kmetijskem gospodarstvu prideluje zelenjavo oziroma zelišča na vsaj:</w:t>
            </w:r>
            <w:r w:rsidRPr="00CB5D01">
              <w:rPr>
                <w:sz w:val="21"/>
                <w:szCs w:val="21"/>
              </w:rPr>
              <w:br/>
              <w:t>- 0,1 ha njivskih površin na prostem ali,</w:t>
            </w:r>
            <w:r w:rsidRPr="00CB5D01">
              <w:rPr>
                <w:sz w:val="21"/>
                <w:szCs w:val="21"/>
              </w:rPr>
              <w:br/>
              <w:t>- 0,02 ha v rastlinjaku oziroma na njivskih površinah, kjer pridelava ni v tleh. Zavezanec za vpis v evidenco pridelovalcev zelenjave in zelišč je tudi nosilec, ki pridelano zelenjavo oziroma zelišča trži oziroma je vključen v sheme kakovosti.</w:t>
            </w:r>
          </w:p>
        </w:tc>
      </w:tr>
      <w:tr w:rsidR="008E19A2" w:rsidRPr="00CB5D01" w:rsidTr="008E19A2">
        <w:trPr>
          <w:trHeight w:val="300"/>
        </w:trPr>
        <w:tc>
          <w:tcPr>
            <w:tcW w:w="450" w:type="dxa"/>
            <w:shd w:val="clear" w:color="auto" w:fill="auto"/>
            <w:noWrap/>
          </w:tcPr>
          <w:p w:rsidR="008E19A2" w:rsidRPr="00CB5D01" w:rsidRDefault="008E19A2" w:rsidP="008E19A2">
            <w:pPr>
              <w:rPr>
                <w:sz w:val="21"/>
                <w:szCs w:val="21"/>
              </w:rPr>
            </w:pPr>
          </w:p>
        </w:tc>
        <w:tc>
          <w:tcPr>
            <w:tcW w:w="8612" w:type="dxa"/>
            <w:shd w:val="clear" w:color="auto" w:fill="auto"/>
            <w:noWrap/>
          </w:tcPr>
          <w:p w:rsidR="008E19A2" w:rsidRPr="00CB5D01" w:rsidRDefault="008E19A2">
            <w:pPr>
              <w:rPr>
                <w:sz w:val="21"/>
                <w:szCs w:val="21"/>
              </w:rPr>
            </w:pPr>
          </w:p>
        </w:tc>
      </w:tr>
      <w:tr w:rsidR="008E19A2" w:rsidRPr="00CB5D01" w:rsidTr="008E19A2">
        <w:trPr>
          <w:trHeight w:val="300"/>
        </w:trPr>
        <w:tc>
          <w:tcPr>
            <w:tcW w:w="450" w:type="dxa"/>
            <w:shd w:val="clear" w:color="auto" w:fill="auto"/>
            <w:noWrap/>
            <w:hideMark/>
          </w:tcPr>
          <w:p w:rsidR="008E19A2" w:rsidRPr="00CB5D01" w:rsidRDefault="008E19A2" w:rsidP="008E19A2">
            <w:pPr>
              <w:rPr>
                <w:sz w:val="21"/>
                <w:szCs w:val="21"/>
              </w:rPr>
            </w:pPr>
            <w:r w:rsidRPr="00CB5D01">
              <w:rPr>
                <w:sz w:val="21"/>
                <w:szCs w:val="21"/>
              </w:rPr>
              <w:t>9</w:t>
            </w:r>
          </w:p>
        </w:tc>
        <w:tc>
          <w:tcPr>
            <w:tcW w:w="8612" w:type="dxa"/>
            <w:shd w:val="clear" w:color="auto" w:fill="DEEAF6" w:themeFill="accent1" w:themeFillTint="33"/>
            <w:noWrap/>
            <w:hideMark/>
          </w:tcPr>
          <w:p w:rsidR="008E19A2" w:rsidRPr="00CB5D01" w:rsidRDefault="008E19A2" w:rsidP="00941B57">
            <w:pPr>
              <w:rPr>
                <w:sz w:val="21"/>
                <w:szCs w:val="21"/>
              </w:rPr>
            </w:pPr>
            <w:r w:rsidRPr="00CB5D01">
              <w:rPr>
                <w:sz w:val="21"/>
                <w:szCs w:val="21"/>
              </w:rPr>
              <w:t xml:space="preserve">Ali se  letos pred vnosom vloge lahko umakne OOTT </w:t>
            </w:r>
            <w:r w:rsidR="00941B57" w:rsidRPr="00CB5D01">
              <w:rPr>
                <w:sz w:val="21"/>
                <w:szCs w:val="21"/>
              </w:rPr>
              <w:t>GERK</w:t>
            </w:r>
            <w:r w:rsidRPr="00CB5D01">
              <w:rPr>
                <w:sz w:val="21"/>
                <w:szCs w:val="21"/>
              </w:rPr>
              <w:t>?</w:t>
            </w:r>
          </w:p>
        </w:tc>
      </w:tr>
      <w:tr w:rsidR="008E19A2" w:rsidRPr="00CB5D01" w:rsidTr="008E19A2">
        <w:trPr>
          <w:trHeight w:val="300"/>
        </w:trPr>
        <w:tc>
          <w:tcPr>
            <w:tcW w:w="450" w:type="dxa"/>
            <w:shd w:val="clear" w:color="auto" w:fill="auto"/>
            <w:noWrap/>
            <w:hideMark/>
          </w:tcPr>
          <w:p w:rsidR="008E19A2" w:rsidRPr="00CB5D01" w:rsidRDefault="008E19A2">
            <w:pPr>
              <w:rPr>
                <w:sz w:val="21"/>
                <w:szCs w:val="21"/>
              </w:rPr>
            </w:pPr>
            <w:r w:rsidRPr="00CB5D01">
              <w:rPr>
                <w:sz w:val="21"/>
                <w:szCs w:val="21"/>
              </w:rPr>
              <w:lastRenderedPageBreak/>
              <w:t> </w:t>
            </w:r>
          </w:p>
        </w:tc>
        <w:tc>
          <w:tcPr>
            <w:tcW w:w="8612" w:type="dxa"/>
            <w:noWrap/>
            <w:hideMark/>
          </w:tcPr>
          <w:p w:rsidR="008E19A2" w:rsidRPr="00CB5D01" w:rsidRDefault="008E19A2" w:rsidP="008E19A2">
            <w:pPr>
              <w:rPr>
                <w:sz w:val="21"/>
                <w:szCs w:val="21"/>
              </w:rPr>
            </w:pPr>
            <w:r w:rsidRPr="00CB5D01">
              <w:rPr>
                <w:sz w:val="21"/>
                <w:szCs w:val="21"/>
              </w:rPr>
              <w:t>V pravilniku, ki ureja register kmetijskih gospodarstev (Uradni list 7/2023) piše: Pred izbrisom GERK, ki ima status Ohranjanje okolijsko občutljivega trajnega travinja (OOTT) v skladu z uredbo, ki določa pravila o pogojenosti ali KRZ za DKOP 8 (ohranjanje), ki je v lasti nosilca, mora le-ta dokazati, da nima več pravice do uporabe zemljišča, sicer se izbris ne dovoli.</w:t>
            </w:r>
          </w:p>
        </w:tc>
      </w:tr>
      <w:tr w:rsidR="008E19A2" w:rsidRPr="00CB5D01" w:rsidTr="008E19A2">
        <w:trPr>
          <w:trHeight w:val="300"/>
        </w:trPr>
        <w:tc>
          <w:tcPr>
            <w:tcW w:w="450" w:type="dxa"/>
            <w:shd w:val="clear" w:color="auto" w:fill="auto"/>
            <w:noWrap/>
          </w:tcPr>
          <w:p w:rsidR="008E19A2" w:rsidRPr="00CB5D01" w:rsidRDefault="008E19A2" w:rsidP="008E19A2">
            <w:pPr>
              <w:rPr>
                <w:sz w:val="21"/>
                <w:szCs w:val="21"/>
              </w:rPr>
            </w:pPr>
          </w:p>
        </w:tc>
        <w:tc>
          <w:tcPr>
            <w:tcW w:w="8612" w:type="dxa"/>
            <w:shd w:val="clear" w:color="auto" w:fill="auto"/>
            <w:noWrap/>
          </w:tcPr>
          <w:p w:rsidR="008E19A2" w:rsidRPr="00CB5D01" w:rsidRDefault="008E19A2">
            <w:pPr>
              <w:rPr>
                <w:sz w:val="21"/>
                <w:szCs w:val="21"/>
              </w:rPr>
            </w:pPr>
          </w:p>
        </w:tc>
      </w:tr>
      <w:tr w:rsidR="008E19A2" w:rsidRPr="00CB5D01" w:rsidTr="008E19A2">
        <w:trPr>
          <w:trHeight w:val="300"/>
        </w:trPr>
        <w:tc>
          <w:tcPr>
            <w:tcW w:w="450" w:type="dxa"/>
            <w:shd w:val="clear" w:color="auto" w:fill="auto"/>
            <w:noWrap/>
            <w:hideMark/>
          </w:tcPr>
          <w:p w:rsidR="008E19A2" w:rsidRPr="00CB5D01" w:rsidRDefault="008E19A2" w:rsidP="008E19A2">
            <w:pPr>
              <w:rPr>
                <w:sz w:val="21"/>
                <w:szCs w:val="21"/>
              </w:rPr>
            </w:pPr>
            <w:r w:rsidRPr="00CB5D01">
              <w:rPr>
                <w:sz w:val="21"/>
                <w:szCs w:val="21"/>
              </w:rPr>
              <w:t>10</w:t>
            </w:r>
          </w:p>
        </w:tc>
        <w:tc>
          <w:tcPr>
            <w:tcW w:w="8612" w:type="dxa"/>
            <w:shd w:val="clear" w:color="auto" w:fill="DEEAF6" w:themeFill="accent1" w:themeFillTint="33"/>
            <w:noWrap/>
            <w:hideMark/>
          </w:tcPr>
          <w:p w:rsidR="008E19A2" w:rsidRPr="00CB5D01" w:rsidRDefault="008E19A2">
            <w:pPr>
              <w:rPr>
                <w:sz w:val="21"/>
                <w:szCs w:val="21"/>
              </w:rPr>
            </w:pPr>
            <w:r w:rsidRPr="00CB5D01">
              <w:rPr>
                <w:sz w:val="21"/>
                <w:szCs w:val="21"/>
              </w:rPr>
              <w:t>AMS - kaj pa tisti, ki ne bodo obvladali te aplikacije, kako bodo obveščeni o napakah.</w:t>
            </w:r>
          </w:p>
        </w:tc>
      </w:tr>
      <w:tr w:rsidR="008E19A2" w:rsidRPr="00CB5D01" w:rsidTr="008E19A2">
        <w:trPr>
          <w:trHeight w:val="300"/>
        </w:trPr>
        <w:tc>
          <w:tcPr>
            <w:tcW w:w="450" w:type="dxa"/>
            <w:shd w:val="clear" w:color="auto" w:fill="auto"/>
            <w:noWrap/>
            <w:hideMark/>
          </w:tcPr>
          <w:p w:rsidR="008E19A2" w:rsidRPr="00CB5D01" w:rsidRDefault="008E19A2">
            <w:pPr>
              <w:rPr>
                <w:sz w:val="21"/>
                <w:szCs w:val="21"/>
              </w:rPr>
            </w:pPr>
            <w:r w:rsidRPr="00CB5D01">
              <w:rPr>
                <w:sz w:val="21"/>
                <w:szCs w:val="21"/>
              </w:rPr>
              <w:t> </w:t>
            </w:r>
          </w:p>
        </w:tc>
        <w:tc>
          <w:tcPr>
            <w:tcW w:w="8612" w:type="dxa"/>
            <w:noWrap/>
            <w:hideMark/>
          </w:tcPr>
          <w:p w:rsidR="008E19A2" w:rsidRPr="00CB5D01" w:rsidRDefault="008E19A2" w:rsidP="008E19A2">
            <w:pPr>
              <w:rPr>
                <w:sz w:val="21"/>
                <w:szCs w:val="21"/>
              </w:rPr>
            </w:pPr>
            <w:r w:rsidRPr="00CB5D01">
              <w:rPr>
                <w:sz w:val="21"/>
                <w:szCs w:val="21"/>
              </w:rPr>
              <w:t xml:space="preserve">Ko bo upravičenec, ki ne bo obvladal aplikacije Sopotnik prejel obvestilo o tem, da je ugotovitev za njegov KMG podana v Sopotnik (preko sms, elektronske pošte ali preko navadne pošte, če se bo v ZV tako izjavil), se bo obrnil na osebo, ki bo zanj odreagirala v Sopotniku (tudi kmetijski svetovalec), oziroma, če bo potrebno zahtevek umakniti ali spremeniti, bo zanj zahtevek na </w:t>
            </w:r>
            <w:proofErr w:type="spellStart"/>
            <w:r w:rsidRPr="00CB5D01">
              <w:rPr>
                <w:sz w:val="21"/>
                <w:szCs w:val="21"/>
              </w:rPr>
              <w:t>geoprostorskem</w:t>
            </w:r>
            <w:proofErr w:type="spellEnd"/>
            <w:r w:rsidRPr="00CB5D01">
              <w:rPr>
                <w:sz w:val="21"/>
                <w:szCs w:val="21"/>
              </w:rPr>
              <w:t xml:space="preserve"> obrazcu zbirne vloge umaknila </w:t>
            </w:r>
            <w:proofErr w:type="spellStart"/>
            <w:r w:rsidRPr="00CB5D01">
              <w:rPr>
                <w:sz w:val="21"/>
                <w:szCs w:val="21"/>
              </w:rPr>
              <w:t>oz</w:t>
            </w:r>
            <w:proofErr w:type="spellEnd"/>
            <w:r w:rsidRPr="00CB5D01">
              <w:rPr>
                <w:sz w:val="21"/>
                <w:szCs w:val="21"/>
              </w:rPr>
              <w:t xml:space="preserve"> spremenila.</w:t>
            </w:r>
          </w:p>
        </w:tc>
      </w:tr>
      <w:tr w:rsidR="008E19A2" w:rsidRPr="00CB5D01" w:rsidTr="008E19A2">
        <w:trPr>
          <w:trHeight w:val="300"/>
        </w:trPr>
        <w:tc>
          <w:tcPr>
            <w:tcW w:w="450" w:type="dxa"/>
            <w:shd w:val="clear" w:color="auto" w:fill="auto"/>
            <w:noWrap/>
          </w:tcPr>
          <w:p w:rsidR="008E19A2" w:rsidRPr="00CB5D01" w:rsidRDefault="008E19A2">
            <w:pPr>
              <w:rPr>
                <w:sz w:val="21"/>
                <w:szCs w:val="21"/>
              </w:rPr>
            </w:pPr>
          </w:p>
        </w:tc>
        <w:tc>
          <w:tcPr>
            <w:tcW w:w="8612" w:type="dxa"/>
            <w:noWrap/>
          </w:tcPr>
          <w:p w:rsidR="008E19A2" w:rsidRPr="00CB5D01" w:rsidRDefault="008E19A2" w:rsidP="008E19A2">
            <w:pPr>
              <w:rPr>
                <w:sz w:val="21"/>
                <w:szCs w:val="21"/>
              </w:rPr>
            </w:pPr>
          </w:p>
        </w:tc>
      </w:tr>
      <w:tr w:rsidR="008E19A2" w:rsidRPr="00CB5D01" w:rsidTr="008E19A2">
        <w:trPr>
          <w:trHeight w:val="300"/>
        </w:trPr>
        <w:tc>
          <w:tcPr>
            <w:tcW w:w="450" w:type="dxa"/>
            <w:shd w:val="clear" w:color="auto" w:fill="auto"/>
            <w:noWrap/>
            <w:hideMark/>
          </w:tcPr>
          <w:p w:rsidR="008E19A2" w:rsidRPr="00CB5D01" w:rsidRDefault="008E19A2" w:rsidP="008E19A2">
            <w:pPr>
              <w:rPr>
                <w:sz w:val="21"/>
                <w:szCs w:val="21"/>
              </w:rPr>
            </w:pPr>
            <w:r w:rsidRPr="00CB5D01">
              <w:rPr>
                <w:sz w:val="21"/>
                <w:szCs w:val="21"/>
              </w:rPr>
              <w:t>12</w:t>
            </w:r>
          </w:p>
        </w:tc>
        <w:tc>
          <w:tcPr>
            <w:tcW w:w="8612" w:type="dxa"/>
            <w:shd w:val="clear" w:color="auto" w:fill="DEEAF6" w:themeFill="accent1" w:themeFillTint="33"/>
            <w:noWrap/>
            <w:hideMark/>
          </w:tcPr>
          <w:p w:rsidR="008E19A2" w:rsidRPr="00CB5D01" w:rsidRDefault="008E19A2">
            <w:pPr>
              <w:rPr>
                <w:sz w:val="21"/>
                <w:szCs w:val="21"/>
              </w:rPr>
            </w:pPr>
            <w:r w:rsidRPr="00CB5D01">
              <w:rPr>
                <w:sz w:val="21"/>
                <w:szCs w:val="21"/>
              </w:rPr>
              <w:t>Ali se mora vpisati v register pridelovalcev zelenjave tudi tisti, ki ima v poljedelskem kolobarju zelje?</w:t>
            </w:r>
          </w:p>
        </w:tc>
      </w:tr>
      <w:tr w:rsidR="008E19A2" w:rsidRPr="00CB5D01" w:rsidTr="008E19A2">
        <w:trPr>
          <w:trHeight w:val="300"/>
        </w:trPr>
        <w:tc>
          <w:tcPr>
            <w:tcW w:w="450" w:type="dxa"/>
            <w:shd w:val="clear" w:color="auto" w:fill="auto"/>
            <w:noWrap/>
            <w:hideMark/>
          </w:tcPr>
          <w:p w:rsidR="008E19A2" w:rsidRPr="00CB5D01" w:rsidRDefault="008E19A2">
            <w:pPr>
              <w:rPr>
                <w:sz w:val="21"/>
                <w:szCs w:val="21"/>
              </w:rPr>
            </w:pPr>
            <w:r w:rsidRPr="00CB5D01">
              <w:rPr>
                <w:sz w:val="21"/>
                <w:szCs w:val="21"/>
              </w:rPr>
              <w:t> </w:t>
            </w:r>
          </w:p>
        </w:tc>
        <w:tc>
          <w:tcPr>
            <w:tcW w:w="8612" w:type="dxa"/>
            <w:noWrap/>
            <w:hideMark/>
          </w:tcPr>
          <w:p w:rsidR="008E19A2" w:rsidRPr="00CB5D01" w:rsidRDefault="008E19A2" w:rsidP="008E19A2">
            <w:pPr>
              <w:rPr>
                <w:sz w:val="21"/>
                <w:szCs w:val="21"/>
              </w:rPr>
            </w:pPr>
            <w:r w:rsidRPr="00CB5D01">
              <w:rPr>
                <w:sz w:val="21"/>
                <w:szCs w:val="21"/>
              </w:rPr>
              <w:t>Če ima zelja več kot 0,1 ha, potem se mora vpisati.</w:t>
            </w:r>
          </w:p>
        </w:tc>
      </w:tr>
      <w:tr w:rsidR="008E19A2" w:rsidRPr="00CB5D01" w:rsidTr="008E19A2">
        <w:trPr>
          <w:trHeight w:val="300"/>
        </w:trPr>
        <w:tc>
          <w:tcPr>
            <w:tcW w:w="450" w:type="dxa"/>
            <w:shd w:val="clear" w:color="auto" w:fill="auto"/>
            <w:noWrap/>
          </w:tcPr>
          <w:p w:rsidR="008E19A2" w:rsidRPr="00CB5D01" w:rsidRDefault="008E19A2" w:rsidP="008E19A2">
            <w:pPr>
              <w:rPr>
                <w:sz w:val="21"/>
                <w:szCs w:val="21"/>
              </w:rPr>
            </w:pPr>
          </w:p>
        </w:tc>
        <w:tc>
          <w:tcPr>
            <w:tcW w:w="8612" w:type="dxa"/>
            <w:shd w:val="clear" w:color="auto" w:fill="auto"/>
            <w:noWrap/>
          </w:tcPr>
          <w:p w:rsidR="008E19A2" w:rsidRPr="00CB5D01" w:rsidRDefault="008E19A2">
            <w:pPr>
              <w:rPr>
                <w:sz w:val="21"/>
                <w:szCs w:val="21"/>
              </w:rPr>
            </w:pPr>
          </w:p>
        </w:tc>
      </w:tr>
      <w:tr w:rsidR="008E19A2" w:rsidRPr="00CB5D01" w:rsidTr="008E19A2">
        <w:trPr>
          <w:trHeight w:val="300"/>
        </w:trPr>
        <w:tc>
          <w:tcPr>
            <w:tcW w:w="450" w:type="dxa"/>
            <w:shd w:val="clear" w:color="auto" w:fill="auto"/>
            <w:noWrap/>
            <w:hideMark/>
          </w:tcPr>
          <w:p w:rsidR="008E19A2" w:rsidRPr="00CB5D01" w:rsidRDefault="008E19A2" w:rsidP="008E19A2">
            <w:pPr>
              <w:rPr>
                <w:sz w:val="21"/>
                <w:szCs w:val="21"/>
              </w:rPr>
            </w:pPr>
            <w:r w:rsidRPr="00CB5D01">
              <w:rPr>
                <w:sz w:val="21"/>
                <w:szCs w:val="21"/>
              </w:rPr>
              <w:t>14</w:t>
            </w:r>
          </w:p>
        </w:tc>
        <w:tc>
          <w:tcPr>
            <w:tcW w:w="8612" w:type="dxa"/>
            <w:shd w:val="clear" w:color="auto" w:fill="DEEAF6" w:themeFill="accent1" w:themeFillTint="33"/>
            <w:noWrap/>
            <w:hideMark/>
          </w:tcPr>
          <w:p w:rsidR="008E19A2" w:rsidRPr="00CB5D01" w:rsidRDefault="008E19A2" w:rsidP="00941B57">
            <w:pPr>
              <w:rPr>
                <w:sz w:val="21"/>
                <w:szCs w:val="21"/>
              </w:rPr>
            </w:pPr>
            <w:r w:rsidRPr="00CB5D01">
              <w:rPr>
                <w:sz w:val="21"/>
                <w:szCs w:val="21"/>
              </w:rPr>
              <w:t xml:space="preserve">K svojemu vprašanju postavljam še vprašanje ali ne bo sankcioniran zaradi zmanjšana površin OOTT ker bo uredil </w:t>
            </w:r>
            <w:r w:rsidR="00941B57" w:rsidRPr="00CB5D01">
              <w:rPr>
                <w:sz w:val="21"/>
                <w:szCs w:val="21"/>
              </w:rPr>
              <w:t>GERK</w:t>
            </w:r>
            <w:r w:rsidRPr="00CB5D01">
              <w:rPr>
                <w:sz w:val="21"/>
                <w:szCs w:val="21"/>
              </w:rPr>
              <w:t xml:space="preserve"> s stanjem v naravi</w:t>
            </w:r>
            <w:r w:rsidR="00941B57" w:rsidRPr="00CB5D01">
              <w:rPr>
                <w:sz w:val="21"/>
                <w:szCs w:val="21"/>
              </w:rPr>
              <w:t>?</w:t>
            </w:r>
          </w:p>
        </w:tc>
      </w:tr>
      <w:tr w:rsidR="008E19A2" w:rsidRPr="00CB5D01" w:rsidTr="008E19A2">
        <w:trPr>
          <w:trHeight w:val="300"/>
        </w:trPr>
        <w:tc>
          <w:tcPr>
            <w:tcW w:w="450" w:type="dxa"/>
            <w:shd w:val="clear" w:color="auto" w:fill="auto"/>
            <w:noWrap/>
            <w:hideMark/>
          </w:tcPr>
          <w:p w:rsidR="008E19A2" w:rsidRPr="00CB5D01" w:rsidRDefault="008E19A2">
            <w:pPr>
              <w:rPr>
                <w:sz w:val="21"/>
                <w:szCs w:val="21"/>
              </w:rPr>
            </w:pPr>
            <w:r w:rsidRPr="00CB5D01">
              <w:rPr>
                <w:sz w:val="21"/>
                <w:szCs w:val="21"/>
              </w:rPr>
              <w:t> </w:t>
            </w:r>
          </w:p>
        </w:tc>
        <w:tc>
          <w:tcPr>
            <w:tcW w:w="8612" w:type="dxa"/>
            <w:noWrap/>
            <w:hideMark/>
          </w:tcPr>
          <w:p w:rsidR="008E19A2" w:rsidRPr="00CB5D01" w:rsidRDefault="008E19A2" w:rsidP="008E19A2">
            <w:pPr>
              <w:rPr>
                <w:sz w:val="21"/>
                <w:szCs w:val="21"/>
              </w:rPr>
            </w:pPr>
            <w:r w:rsidRPr="00CB5D01">
              <w:rPr>
                <w:sz w:val="21"/>
                <w:szCs w:val="21"/>
              </w:rPr>
              <w:t>Če bo urejal s stanjem v naravi na katerega je upravičenec sam vplival z namenom, da zmanjša OOTT območje, potem bo sankcioniran, sicer ne.</w:t>
            </w:r>
          </w:p>
        </w:tc>
      </w:tr>
      <w:tr w:rsidR="00314A19" w:rsidRPr="00CB5D01" w:rsidTr="00314A19">
        <w:trPr>
          <w:trHeight w:val="300"/>
        </w:trPr>
        <w:tc>
          <w:tcPr>
            <w:tcW w:w="450" w:type="dxa"/>
            <w:shd w:val="clear" w:color="auto" w:fill="auto"/>
            <w:noWrap/>
          </w:tcPr>
          <w:p w:rsidR="00314A19" w:rsidRPr="00CB5D01" w:rsidRDefault="00314A19" w:rsidP="008E19A2">
            <w:pPr>
              <w:rPr>
                <w:sz w:val="21"/>
                <w:szCs w:val="21"/>
              </w:rPr>
            </w:pPr>
          </w:p>
        </w:tc>
        <w:tc>
          <w:tcPr>
            <w:tcW w:w="8612" w:type="dxa"/>
            <w:shd w:val="clear" w:color="auto" w:fill="auto"/>
            <w:noWrap/>
          </w:tcPr>
          <w:p w:rsidR="00314A19" w:rsidRPr="00CB5D01" w:rsidRDefault="00314A19">
            <w:pPr>
              <w:rPr>
                <w:sz w:val="21"/>
                <w:szCs w:val="21"/>
              </w:rPr>
            </w:pPr>
          </w:p>
        </w:tc>
      </w:tr>
      <w:tr w:rsidR="008E19A2" w:rsidRPr="00CB5D01" w:rsidTr="008E19A2">
        <w:trPr>
          <w:trHeight w:val="300"/>
        </w:trPr>
        <w:tc>
          <w:tcPr>
            <w:tcW w:w="450" w:type="dxa"/>
            <w:shd w:val="clear" w:color="auto" w:fill="auto"/>
            <w:noWrap/>
            <w:hideMark/>
          </w:tcPr>
          <w:p w:rsidR="008E19A2" w:rsidRPr="00CB5D01" w:rsidRDefault="008E19A2" w:rsidP="008E19A2">
            <w:pPr>
              <w:rPr>
                <w:sz w:val="21"/>
                <w:szCs w:val="21"/>
              </w:rPr>
            </w:pPr>
            <w:r w:rsidRPr="00CB5D01">
              <w:rPr>
                <w:sz w:val="21"/>
                <w:szCs w:val="21"/>
              </w:rPr>
              <w:t>15</w:t>
            </w:r>
          </w:p>
        </w:tc>
        <w:tc>
          <w:tcPr>
            <w:tcW w:w="8612" w:type="dxa"/>
            <w:shd w:val="clear" w:color="auto" w:fill="DEEAF6" w:themeFill="accent1" w:themeFillTint="33"/>
            <w:noWrap/>
            <w:hideMark/>
          </w:tcPr>
          <w:p w:rsidR="008E19A2" w:rsidRPr="00CB5D01" w:rsidRDefault="008E19A2" w:rsidP="00941B57">
            <w:pPr>
              <w:rPr>
                <w:sz w:val="21"/>
                <w:szCs w:val="21"/>
              </w:rPr>
            </w:pPr>
            <w:r w:rsidRPr="00CB5D01">
              <w:rPr>
                <w:sz w:val="21"/>
                <w:szCs w:val="21"/>
              </w:rPr>
              <w:t xml:space="preserve">Ali se planinska paša pri izračunu povprečne obremenitve na KMG upošteva samo pri </w:t>
            </w:r>
            <w:proofErr w:type="spellStart"/>
            <w:r w:rsidRPr="00CB5D01">
              <w:rPr>
                <w:sz w:val="21"/>
                <w:szCs w:val="21"/>
              </w:rPr>
              <w:t>ekstenziviranju</w:t>
            </w:r>
            <w:proofErr w:type="spellEnd"/>
            <w:r w:rsidRPr="00CB5D01">
              <w:rPr>
                <w:sz w:val="21"/>
                <w:szCs w:val="21"/>
              </w:rPr>
              <w:t xml:space="preserve"> travinja ali tudi pri </w:t>
            </w:r>
            <w:r w:rsidR="00941B57" w:rsidRPr="00CB5D01">
              <w:rPr>
                <w:sz w:val="21"/>
                <w:szCs w:val="21"/>
              </w:rPr>
              <w:t>ostalih</w:t>
            </w:r>
            <w:r w:rsidRPr="00CB5D01">
              <w:rPr>
                <w:sz w:val="21"/>
                <w:szCs w:val="21"/>
              </w:rPr>
              <w:t xml:space="preserve"> interv</w:t>
            </w:r>
            <w:r w:rsidR="00941B57" w:rsidRPr="00CB5D01">
              <w:rPr>
                <w:sz w:val="21"/>
                <w:szCs w:val="21"/>
              </w:rPr>
              <w:t>encijah KOPOP, EK, PRP razpisih?</w:t>
            </w:r>
          </w:p>
        </w:tc>
      </w:tr>
      <w:tr w:rsidR="008E19A2" w:rsidRPr="00CB5D01" w:rsidTr="008E19A2">
        <w:trPr>
          <w:trHeight w:val="300"/>
        </w:trPr>
        <w:tc>
          <w:tcPr>
            <w:tcW w:w="450" w:type="dxa"/>
            <w:shd w:val="clear" w:color="auto" w:fill="auto"/>
            <w:noWrap/>
            <w:hideMark/>
          </w:tcPr>
          <w:p w:rsidR="008E19A2" w:rsidRPr="00CB5D01" w:rsidRDefault="008E19A2">
            <w:pPr>
              <w:rPr>
                <w:sz w:val="21"/>
                <w:szCs w:val="21"/>
              </w:rPr>
            </w:pPr>
            <w:r w:rsidRPr="00CB5D01">
              <w:rPr>
                <w:sz w:val="21"/>
                <w:szCs w:val="21"/>
              </w:rPr>
              <w:t> </w:t>
            </w:r>
          </w:p>
        </w:tc>
        <w:tc>
          <w:tcPr>
            <w:tcW w:w="8612" w:type="dxa"/>
            <w:noWrap/>
            <w:hideMark/>
          </w:tcPr>
          <w:p w:rsidR="008E19A2" w:rsidRPr="00CB5D01" w:rsidRDefault="008E19A2" w:rsidP="008E19A2">
            <w:pPr>
              <w:rPr>
                <w:sz w:val="21"/>
                <w:szCs w:val="21"/>
              </w:rPr>
            </w:pPr>
            <w:r w:rsidRPr="00CB5D01">
              <w:rPr>
                <w:sz w:val="21"/>
                <w:szCs w:val="21"/>
              </w:rPr>
              <w:t>Živina se upošteva kot živina KMG, tudi če je na paši na planini, razen v zvezi z aktivnim kmetom.</w:t>
            </w:r>
          </w:p>
        </w:tc>
      </w:tr>
      <w:tr w:rsidR="00314A19" w:rsidRPr="00CB5D01" w:rsidTr="00314A19">
        <w:trPr>
          <w:trHeight w:val="300"/>
        </w:trPr>
        <w:tc>
          <w:tcPr>
            <w:tcW w:w="450" w:type="dxa"/>
            <w:shd w:val="clear" w:color="auto" w:fill="auto"/>
            <w:noWrap/>
          </w:tcPr>
          <w:p w:rsidR="00314A19" w:rsidRPr="00CB5D01" w:rsidRDefault="00314A19" w:rsidP="008E19A2">
            <w:pPr>
              <w:rPr>
                <w:sz w:val="21"/>
                <w:szCs w:val="21"/>
              </w:rPr>
            </w:pPr>
          </w:p>
        </w:tc>
        <w:tc>
          <w:tcPr>
            <w:tcW w:w="8612" w:type="dxa"/>
            <w:shd w:val="clear" w:color="auto" w:fill="auto"/>
            <w:noWrap/>
          </w:tcPr>
          <w:p w:rsidR="00314A19" w:rsidRPr="00CB5D01" w:rsidRDefault="00314A19">
            <w:pPr>
              <w:rPr>
                <w:sz w:val="21"/>
                <w:szCs w:val="21"/>
              </w:rPr>
            </w:pPr>
          </w:p>
        </w:tc>
      </w:tr>
      <w:tr w:rsidR="008E19A2" w:rsidRPr="00CB5D01" w:rsidTr="008E19A2">
        <w:trPr>
          <w:trHeight w:val="300"/>
        </w:trPr>
        <w:tc>
          <w:tcPr>
            <w:tcW w:w="450" w:type="dxa"/>
            <w:shd w:val="clear" w:color="auto" w:fill="auto"/>
            <w:noWrap/>
            <w:hideMark/>
          </w:tcPr>
          <w:p w:rsidR="008E19A2" w:rsidRPr="00CB5D01" w:rsidRDefault="008E19A2" w:rsidP="008E19A2">
            <w:pPr>
              <w:rPr>
                <w:sz w:val="21"/>
                <w:szCs w:val="21"/>
              </w:rPr>
            </w:pPr>
            <w:r w:rsidRPr="00CB5D01">
              <w:rPr>
                <w:sz w:val="21"/>
                <w:szCs w:val="21"/>
              </w:rPr>
              <w:t>17</w:t>
            </w:r>
          </w:p>
        </w:tc>
        <w:tc>
          <w:tcPr>
            <w:tcW w:w="8612" w:type="dxa"/>
            <w:shd w:val="clear" w:color="auto" w:fill="DEEAF6" w:themeFill="accent1" w:themeFillTint="33"/>
            <w:noWrap/>
            <w:hideMark/>
          </w:tcPr>
          <w:p w:rsidR="008E19A2" w:rsidRPr="00CB5D01" w:rsidRDefault="008E19A2">
            <w:pPr>
              <w:rPr>
                <w:sz w:val="21"/>
                <w:szCs w:val="21"/>
              </w:rPr>
            </w:pPr>
            <w:r w:rsidRPr="00CB5D01">
              <w:rPr>
                <w:sz w:val="21"/>
                <w:szCs w:val="21"/>
              </w:rPr>
              <w:t xml:space="preserve">Navedite prosim </w:t>
            </w:r>
            <w:r w:rsidR="00941B57" w:rsidRPr="00CB5D01">
              <w:rPr>
                <w:sz w:val="21"/>
                <w:szCs w:val="21"/>
              </w:rPr>
              <w:t>konkretno v</w:t>
            </w:r>
            <w:r w:rsidRPr="00CB5D01">
              <w:rPr>
                <w:sz w:val="21"/>
                <w:szCs w:val="21"/>
              </w:rPr>
              <w:t xml:space="preserve"> katero rabo se pa potem lahko spremeni 1100 njiva? Kaj pa če se njiva zatravi? v 1300 ni mogoče?</w:t>
            </w:r>
          </w:p>
        </w:tc>
      </w:tr>
      <w:tr w:rsidR="008E19A2" w:rsidRPr="00CB5D01" w:rsidTr="008E19A2">
        <w:trPr>
          <w:trHeight w:val="300"/>
        </w:trPr>
        <w:tc>
          <w:tcPr>
            <w:tcW w:w="450" w:type="dxa"/>
            <w:shd w:val="clear" w:color="auto" w:fill="auto"/>
            <w:noWrap/>
            <w:hideMark/>
          </w:tcPr>
          <w:p w:rsidR="008E19A2" w:rsidRPr="00CB5D01" w:rsidRDefault="008E19A2">
            <w:pPr>
              <w:rPr>
                <w:sz w:val="21"/>
                <w:szCs w:val="21"/>
              </w:rPr>
            </w:pPr>
            <w:r w:rsidRPr="00CB5D01">
              <w:rPr>
                <w:sz w:val="21"/>
                <w:szCs w:val="21"/>
              </w:rPr>
              <w:t> </w:t>
            </w:r>
          </w:p>
        </w:tc>
        <w:tc>
          <w:tcPr>
            <w:tcW w:w="8612" w:type="dxa"/>
            <w:noWrap/>
            <w:hideMark/>
          </w:tcPr>
          <w:p w:rsidR="008E19A2" w:rsidRPr="00CB5D01" w:rsidRDefault="008E19A2" w:rsidP="008E19A2">
            <w:pPr>
              <w:rPr>
                <w:sz w:val="21"/>
                <w:szCs w:val="21"/>
              </w:rPr>
            </w:pPr>
            <w:r w:rsidRPr="00CB5D01">
              <w:rPr>
                <w:sz w:val="21"/>
                <w:szCs w:val="21"/>
              </w:rPr>
              <w:t xml:space="preserve">Če se preko </w:t>
            </w:r>
            <w:proofErr w:type="spellStart"/>
            <w:r w:rsidRPr="00CB5D01">
              <w:rPr>
                <w:sz w:val="21"/>
                <w:szCs w:val="21"/>
              </w:rPr>
              <w:t>geoprostorskega</w:t>
            </w:r>
            <w:proofErr w:type="spellEnd"/>
            <w:r w:rsidRPr="00CB5D01">
              <w:rPr>
                <w:sz w:val="21"/>
                <w:szCs w:val="21"/>
              </w:rPr>
              <w:t xml:space="preserve"> obrazca zbirne vloge spreminja vrsto rabe, se ta ne more spremeniti v vrsto rabe 1300 – trajni travnik, 1320 – travinje z razpršenimi neupravičenimi značilnostmi, 1211 – vinograd, 1221 – intenzivni sadovnjak, 1222 – ekstenzivni sadovnjak, 1230 – oljčnik, 1160 – hmeljišče, 1212 – matičnjak, 1510 – skupina dreves in/ali grmičevja, 1520 – mejica, 1530 – obvodna vegetacija, 1540 – posamezno drevo, 1550 – drevesa v vrsti ali 7010 – vodna prvina. V vse ostale se lahko. Prosim, upoštevajte, da je še vedno pred vnosom zbirne vloge potrebno urediti vrste rab posameznih zemljišč in ostale podatke na UE.</w:t>
            </w:r>
          </w:p>
        </w:tc>
      </w:tr>
      <w:tr w:rsidR="00314A19" w:rsidRPr="00CB5D01" w:rsidTr="008E19A2">
        <w:trPr>
          <w:trHeight w:val="300"/>
        </w:trPr>
        <w:tc>
          <w:tcPr>
            <w:tcW w:w="450" w:type="dxa"/>
            <w:shd w:val="clear" w:color="auto" w:fill="auto"/>
            <w:noWrap/>
          </w:tcPr>
          <w:p w:rsidR="00314A19" w:rsidRPr="00CB5D01" w:rsidRDefault="00314A19">
            <w:pPr>
              <w:rPr>
                <w:sz w:val="21"/>
                <w:szCs w:val="21"/>
              </w:rPr>
            </w:pPr>
          </w:p>
        </w:tc>
        <w:tc>
          <w:tcPr>
            <w:tcW w:w="8612" w:type="dxa"/>
            <w:noWrap/>
          </w:tcPr>
          <w:p w:rsidR="00314A19" w:rsidRPr="00CB5D01" w:rsidRDefault="00314A19" w:rsidP="008E19A2">
            <w:pPr>
              <w:rPr>
                <w:sz w:val="21"/>
                <w:szCs w:val="21"/>
              </w:rPr>
            </w:pPr>
          </w:p>
        </w:tc>
      </w:tr>
      <w:tr w:rsidR="008E19A2" w:rsidRPr="00CB5D01" w:rsidTr="008E19A2">
        <w:trPr>
          <w:trHeight w:val="300"/>
        </w:trPr>
        <w:tc>
          <w:tcPr>
            <w:tcW w:w="450" w:type="dxa"/>
            <w:shd w:val="clear" w:color="auto" w:fill="auto"/>
            <w:noWrap/>
            <w:hideMark/>
          </w:tcPr>
          <w:p w:rsidR="008E19A2" w:rsidRPr="00CB5D01" w:rsidRDefault="008E19A2" w:rsidP="008E19A2">
            <w:pPr>
              <w:rPr>
                <w:sz w:val="21"/>
                <w:szCs w:val="21"/>
              </w:rPr>
            </w:pPr>
            <w:r w:rsidRPr="00CB5D01">
              <w:rPr>
                <w:sz w:val="21"/>
                <w:szCs w:val="21"/>
              </w:rPr>
              <w:t>18</w:t>
            </w:r>
          </w:p>
        </w:tc>
        <w:tc>
          <w:tcPr>
            <w:tcW w:w="8612" w:type="dxa"/>
            <w:shd w:val="clear" w:color="auto" w:fill="DEEAF6" w:themeFill="accent1" w:themeFillTint="33"/>
            <w:noWrap/>
            <w:hideMark/>
          </w:tcPr>
          <w:p w:rsidR="008E19A2" w:rsidRPr="00CB5D01" w:rsidRDefault="008E19A2" w:rsidP="00941B57">
            <w:pPr>
              <w:rPr>
                <w:sz w:val="21"/>
                <w:szCs w:val="21"/>
              </w:rPr>
            </w:pPr>
            <w:r w:rsidRPr="00CB5D01">
              <w:rPr>
                <w:sz w:val="21"/>
                <w:szCs w:val="21"/>
              </w:rPr>
              <w:t>OOTT- Planinsko polje- ali kmetija</w:t>
            </w:r>
            <w:r w:rsidR="00941B57" w:rsidRPr="00CB5D01">
              <w:rPr>
                <w:sz w:val="21"/>
                <w:szCs w:val="21"/>
              </w:rPr>
              <w:t>, ki je EK</w:t>
            </w:r>
            <w:r w:rsidRPr="00CB5D01">
              <w:rPr>
                <w:sz w:val="21"/>
                <w:szCs w:val="21"/>
              </w:rPr>
              <w:t xml:space="preserve"> na teh površinah lahko pase svoje živali?  </w:t>
            </w:r>
          </w:p>
        </w:tc>
      </w:tr>
      <w:tr w:rsidR="008E19A2" w:rsidRPr="00CB5D01" w:rsidTr="008E19A2">
        <w:trPr>
          <w:trHeight w:val="300"/>
        </w:trPr>
        <w:tc>
          <w:tcPr>
            <w:tcW w:w="450" w:type="dxa"/>
            <w:shd w:val="clear" w:color="auto" w:fill="auto"/>
            <w:noWrap/>
            <w:hideMark/>
          </w:tcPr>
          <w:p w:rsidR="008E19A2" w:rsidRPr="00CB5D01" w:rsidRDefault="008E19A2">
            <w:pPr>
              <w:rPr>
                <w:sz w:val="21"/>
                <w:szCs w:val="21"/>
              </w:rPr>
            </w:pPr>
            <w:r w:rsidRPr="00CB5D01">
              <w:rPr>
                <w:sz w:val="21"/>
                <w:szCs w:val="21"/>
              </w:rPr>
              <w:t> </w:t>
            </w:r>
          </w:p>
        </w:tc>
        <w:tc>
          <w:tcPr>
            <w:tcW w:w="8612" w:type="dxa"/>
            <w:noWrap/>
            <w:hideMark/>
          </w:tcPr>
          <w:p w:rsidR="008E19A2" w:rsidRPr="00CB5D01" w:rsidRDefault="008E19A2" w:rsidP="008E19A2">
            <w:pPr>
              <w:rPr>
                <w:sz w:val="21"/>
                <w:szCs w:val="21"/>
              </w:rPr>
            </w:pPr>
            <w:r w:rsidRPr="00CB5D01">
              <w:rPr>
                <w:sz w:val="21"/>
                <w:szCs w:val="21"/>
              </w:rPr>
              <w:t xml:space="preserve">Na OOTT je prepovedano spreminjanje ali </w:t>
            </w:r>
            <w:proofErr w:type="spellStart"/>
            <w:r w:rsidRPr="00CB5D01">
              <w:rPr>
                <w:sz w:val="21"/>
                <w:szCs w:val="21"/>
              </w:rPr>
              <w:t>preoravanje</w:t>
            </w:r>
            <w:proofErr w:type="spellEnd"/>
            <w:r w:rsidRPr="00CB5D01">
              <w:rPr>
                <w:sz w:val="21"/>
                <w:szCs w:val="21"/>
              </w:rPr>
              <w:t xml:space="preserve"> vseh površin trajnega travinja. Velik del površin OOTT se ujema z območjem prepovedi paše, ki jo določajo posamezne intervencije, na primer DŽ. Ali območje </w:t>
            </w:r>
            <w:r w:rsidR="00941B57" w:rsidRPr="00CB5D01">
              <w:rPr>
                <w:sz w:val="21"/>
                <w:szCs w:val="21"/>
              </w:rPr>
              <w:t>sovpada</w:t>
            </w:r>
            <w:r w:rsidRPr="00CB5D01">
              <w:rPr>
                <w:sz w:val="21"/>
                <w:szCs w:val="21"/>
              </w:rPr>
              <w:t xml:space="preserve"> z prepovedjo paše za intervencijo DŽ je razvidno iz </w:t>
            </w:r>
            <w:proofErr w:type="spellStart"/>
            <w:r w:rsidR="00941B57" w:rsidRPr="00CB5D01">
              <w:rPr>
                <w:sz w:val="21"/>
                <w:szCs w:val="21"/>
              </w:rPr>
              <w:t>predtiska</w:t>
            </w:r>
            <w:proofErr w:type="spellEnd"/>
            <w:r w:rsidRPr="00CB5D01">
              <w:rPr>
                <w:sz w:val="21"/>
                <w:szCs w:val="21"/>
              </w:rPr>
              <w:t xml:space="preserve"> (</w:t>
            </w:r>
            <w:r w:rsidR="00941B57" w:rsidRPr="00CB5D01">
              <w:rPr>
                <w:sz w:val="21"/>
                <w:szCs w:val="21"/>
              </w:rPr>
              <w:t>pred izpolnjen</w:t>
            </w:r>
            <w:r w:rsidRPr="00CB5D01">
              <w:rPr>
                <w:sz w:val="21"/>
                <w:szCs w:val="21"/>
              </w:rPr>
              <w:t xml:space="preserve"> obrazec), ki je bil na spletni strani agencije objavljen na stanje 19.2.2023. Enako velja tudi za druge intervencijah in operacijah, kjer je paša prepovedana.</w:t>
            </w:r>
          </w:p>
        </w:tc>
      </w:tr>
      <w:tr w:rsidR="00314A19" w:rsidRPr="00CB5D01" w:rsidTr="00314A19">
        <w:trPr>
          <w:trHeight w:val="300"/>
        </w:trPr>
        <w:tc>
          <w:tcPr>
            <w:tcW w:w="450" w:type="dxa"/>
            <w:shd w:val="clear" w:color="auto" w:fill="auto"/>
            <w:noWrap/>
          </w:tcPr>
          <w:p w:rsidR="00314A19" w:rsidRPr="00CB5D01" w:rsidRDefault="00314A19" w:rsidP="008E19A2">
            <w:pPr>
              <w:rPr>
                <w:sz w:val="21"/>
                <w:szCs w:val="21"/>
              </w:rPr>
            </w:pPr>
          </w:p>
        </w:tc>
        <w:tc>
          <w:tcPr>
            <w:tcW w:w="8612" w:type="dxa"/>
            <w:shd w:val="clear" w:color="auto" w:fill="auto"/>
            <w:noWrap/>
          </w:tcPr>
          <w:p w:rsidR="00314A19" w:rsidRPr="00CB5D01" w:rsidRDefault="00314A19">
            <w:pPr>
              <w:rPr>
                <w:sz w:val="21"/>
                <w:szCs w:val="21"/>
              </w:rPr>
            </w:pPr>
          </w:p>
        </w:tc>
      </w:tr>
      <w:tr w:rsidR="008E19A2" w:rsidRPr="00CB5D01" w:rsidTr="008E19A2">
        <w:trPr>
          <w:trHeight w:val="300"/>
        </w:trPr>
        <w:tc>
          <w:tcPr>
            <w:tcW w:w="450" w:type="dxa"/>
            <w:shd w:val="clear" w:color="auto" w:fill="auto"/>
            <w:noWrap/>
            <w:hideMark/>
          </w:tcPr>
          <w:p w:rsidR="008E19A2" w:rsidRPr="00CB5D01" w:rsidRDefault="008E19A2" w:rsidP="008E19A2">
            <w:pPr>
              <w:rPr>
                <w:sz w:val="21"/>
                <w:szCs w:val="21"/>
              </w:rPr>
            </w:pPr>
            <w:r w:rsidRPr="00CB5D01">
              <w:rPr>
                <w:sz w:val="21"/>
                <w:szCs w:val="21"/>
              </w:rPr>
              <w:t>19</w:t>
            </w:r>
          </w:p>
        </w:tc>
        <w:tc>
          <w:tcPr>
            <w:tcW w:w="8612" w:type="dxa"/>
            <w:shd w:val="clear" w:color="auto" w:fill="DEEAF6" w:themeFill="accent1" w:themeFillTint="33"/>
            <w:noWrap/>
            <w:hideMark/>
          </w:tcPr>
          <w:p w:rsidR="008E19A2" w:rsidRPr="00CB5D01" w:rsidRDefault="008E19A2">
            <w:pPr>
              <w:rPr>
                <w:sz w:val="21"/>
                <w:szCs w:val="21"/>
              </w:rPr>
            </w:pPr>
            <w:r w:rsidRPr="00CB5D01">
              <w:rPr>
                <w:sz w:val="21"/>
                <w:szCs w:val="21"/>
              </w:rPr>
              <w:t xml:space="preserve">Pregledi AMS: kako bo pregled AMS </w:t>
            </w:r>
            <w:r w:rsidR="00BA6297" w:rsidRPr="00CB5D01">
              <w:rPr>
                <w:sz w:val="21"/>
                <w:szCs w:val="21"/>
              </w:rPr>
              <w:t>obravnaval</w:t>
            </w:r>
            <w:r w:rsidRPr="00CB5D01">
              <w:rPr>
                <w:sz w:val="21"/>
                <w:szCs w:val="21"/>
              </w:rPr>
              <w:t xml:space="preserve"> primer: prezimni posevek ozimni ječmen + ozimni krmni grah, ki bo pospravljen v </w:t>
            </w:r>
            <w:r w:rsidR="00BA6297" w:rsidRPr="00CB5D01">
              <w:rPr>
                <w:sz w:val="21"/>
                <w:szCs w:val="21"/>
              </w:rPr>
              <w:t>tehnološki</w:t>
            </w:r>
            <w:r w:rsidRPr="00CB5D01">
              <w:rPr>
                <w:sz w:val="21"/>
                <w:szCs w:val="21"/>
              </w:rPr>
              <w:t xml:space="preserve"> zrelosti (siliranje) konec junija. Posevek je pospravljen v </w:t>
            </w:r>
            <w:r w:rsidR="00BA6297" w:rsidRPr="00CB5D01">
              <w:rPr>
                <w:sz w:val="21"/>
                <w:szCs w:val="21"/>
              </w:rPr>
              <w:t>tehnološki</w:t>
            </w:r>
            <w:r w:rsidRPr="00CB5D01">
              <w:rPr>
                <w:sz w:val="21"/>
                <w:szCs w:val="21"/>
              </w:rPr>
              <w:t xml:space="preserve"> zrelosti</w:t>
            </w:r>
            <w:r w:rsidR="00BA6297" w:rsidRPr="00CB5D01">
              <w:rPr>
                <w:sz w:val="21"/>
                <w:szCs w:val="21"/>
              </w:rPr>
              <w:t xml:space="preserve"> za siliranje, ne bo pa izpolnje</w:t>
            </w:r>
            <w:r w:rsidRPr="00CB5D01">
              <w:rPr>
                <w:sz w:val="21"/>
                <w:szCs w:val="21"/>
              </w:rPr>
              <w:t>n obvezni datum, ki je predviden za glavni posevek. Ali bo tak posevek  obravnavan  kot glavni posevek?</w:t>
            </w:r>
          </w:p>
        </w:tc>
      </w:tr>
      <w:tr w:rsidR="008E19A2" w:rsidRPr="00CB5D01" w:rsidTr="008E19A2">
        <w:trPr>
          <w:trHeight w:val="300"/>
        </w:trPr>
        <w:tc>
          <w:tcPr>
            <w:tcW w:w="450" w:type="dxa"/>
            <w:shd w:val="clear" w:color="auto" w:fill="auto"/>
            <w:noWrap/>
            <w:hideMark/>
          </w:tcPr>
          <w:p w:rsidR="008E19A2" w:rsidRPr="00CB5D01" w:rsidRDefault="008E19A2">
            <w:pPr>
              <w:rPr>
                <w:sz w:val="21"/>
                <w:szCs w:val="21"/>
              </w:rPr>
            </w:pPr>
            <w:r w:rsidRPr="00CB5D01">
              <w:rPr>
                <w:sz w:val="21"/>
                <w:szCs w:val="21"/>
              </w:rPr>
              <w:t> </w:t>
            </w:r>
          </w:p>
        </w:tc>
        <w:tc>
          <w:tcPr>
            <w:tcW w:w="8612" w:type="dxa"/>
            <w:noWrap/>
            <w:hideMark/>
          </w:tcPr>
          <w:p w:rsidR="008E19A2" w:rsidRPr="00CB5D01" w:rsidRDefault="008E19A2" w:rsidP="008E19A2">
            <w:pPr>
              <w:rPr>
                <w:sz w:val="21"/>
                <w:szCs w:val="21"/>
              </w:rPr>
            </w:pPr>
            <w:r w:rsidRPr="00CB5D01">
              <w:rPr>
                <w:sz w:val="21"/>
                <w:szCs w:val="21"/>
              </w:rPr>
              <w:t xml:space="preserve">Da, </w:t>
            </w:r>
            <w:proofErr w:type="spellStart"/>
            <w:r w:rsidRPr="00CB5D01">
              <w:rPr>
                <w:sz w:val="21"/>
                <w:szCs w:val="21"/>
              </w:rPr>
              <w:t>t.i</w:t>
            </w:r>
            <w:proofErr w:type="spellEnd"/>
            <w:r w:rsidRPr="00CB5D01">
              <w:rPr>
                <w:sz w:val="21"/>
                <w:szCs w:val="21"/>
              </w:rPr>
              <w:t>. Uredba IAKS določa: k glavnim posevkom spadajo večletne kmetijske rastline ali kmetijske rastline, ki se posejejo ali posadijo jeseni 2022 ali spomladi 2023 in so na kmetijski površini pretežni del obdobja od 1. maja do 31. julija 2023 oziroma do tehnološke zrelosti. Če sta na isti kmetijski površini zaporedoma dve kmetijski rastlini ter ena od teh rastlin izpolni tehnološko zrelost, druga pa je na površini pretežni del obdobja, se za glavni posevek šteje tista kmetijska rastlina, ki je na površini prisotna pretežni del obdobja;</w:t>
            </w:r>
          </w:p>
        </w:tc>
      </w:tr>
      <w:tr w:rsidR="00314A19" w:rsidRPr="00CB5D01" w:rsidTr="008E19A2">
        <w:trPr>
          <w:trHeight w:val="300"/>
        </w:trPr>
        <w:tc>
          <w:tcPr>
            <w:tcW w:w="450" w:type="dxa"/>
            <w:shd w:val="clear" w:color="auto" w:fill="auto"/>
            <w:noWrap/>
          </w:tcPr>
          <w:p w:rsidR="00314A19" w:rsidRPr="00CB5D01" w:rsidRDefault="00314A19">
            <w:pPr>
              <w:rPr>
                <w:sz w:val="21"/>
                <w:szCs w:val="21"/>
              </w:rPr>
            </w:pPr>
          </w:p>
        </w:tc>
        <w:tc>
          <w:tcPr>
            <w:tcW w:w="8612" w:type="dxa"/>
            <w:noWrap/>
          </w:tcPr>
          <w:p w:rsidR="00314A19" w:rsidRPr="00CB5D01" w:rsidRDefault="00314A19" w:rsidP="008E19A2">
            <w:pPr>
              <w:rPr>
                <w:sz w:val="21"/>
                <w:szCs w:val="21"/>
              </w:rPr>
            </w:pPr>
          </w:p>
        </w:tc>
      </w:tr>
      <w:tr w:rsidR="008E19A2" w:rsidRPr="00CB5D01" w:rsidTr="008E19A2">
        <w:trPr>
          <w:trHeight w:val="300"/>
        </w:trPr>
        <w:tc>
          <w:tcPr>
            <w:tcW w:w="450" w:type="dxa"/>
            <w:shd w:val="clear" w:color="auto" w:fill="auto"/>
            <w:noWrap/>
            <w:hideMark/>
          </w:tcPr>
          <w:p w:rsidR="008E19A2" w:rsidRPr="00CB5D01" w:rsidRDefault="008E19A2" w:rsidP="008E19A2">
            <w:pPr>
              <w:rPr>
                <w:sz w:val="21"/>
                <w:szCs w:val="21"/>
              </w:rPr>
            </w:pPr>
            <w:r w:rsidRPr="00CB5D01">
              <w:rPr>
                <w:sz w:val="21"/>
                <w:szCs w:val="21"/>
              </w:rPr>
              <w:t>20</w:t>
            </w:r>
          </w:p>
        </w:tc>
        <w:tc>
          <w:tcPr>
            <w:tcW w:w="8612" w:type="dxa"/>
            <w:shd w:val="clear" w:color="auto" w:fill="DEEAF6" w:themeFill="accent1" w:themeFillTint="33"/>
            <w:noWrap/>
            <w:hideMark/>
          </w:tcPr>
          <w:p w:rsidR="008E19A2" w:rsidRPr="00CB5D01" w:rsidRDefault="008E19A2">
            <w:pPr>
              <w:rPr>
                <w:sz w:val="21"/>
                <w:szCs w:val="21"/>
              </w:rPr>
            </w:pPr>
            <w:r w:rsidRPr="00CB5D01">
              <w:rPr>
                <w:sz w:val="21"/>
                <w:szCs w:val="21"/>
              </w:rPr>
              <w:t>Pregledi s pomočjo sistema AMS - kmet bo obveščen 14 dni pred zadnjim rokom za popravo.</w:t>
            </w:r>
          </w:p>
        </w:tc>
      </w:tr>
      <w:tr w:rsidR="008E19A2" w:rsidRPr="00CB5D01" w:rsidTr="008E19A2">
        <w:trPr>
          <w:trHeight w:val="300"/>
        </w:trPr>
        <w:tc>
          <w:tcPr>
            <w:tcW w:w="450" w:type="dxa"/>
            <w:shd w:val="clear" w:color="auto" w:fill="auto"/>
            <w:noWrap/>
            <w:hideMark/>
          </w:tcPr>
          <w:p w:rsidR="008E19A2" w:rsidRPr="00CB5D01" w:rsidRDefault="008E19A2">
            <w:pPr>
              <w:rPr>
                <w:sz w:val="21"/>
                <w:szCs w:val="21"/>
              </w:rPr>
            </w:pPr>
            <w:r w:rsidRPr="00CB5D01">
              <w:rPr>
                <w:sz w:val="21"/>
                <w:szCs w:val="21"/>
              </w:rPr>
              <w:t> </w:t>
            </w:r>
          </w:p>
        </w:tc>
        <w:tc>
          <w:tcPr>
            <w:tcW w:w="8612" w:type="dxa"/>
            <w:noWrap/>
            <w:hideMark/>
          </w:tcPr>
          <w:p w:rsidR="008E19A2" w:rsidRPr="00CB5D01" w:rsidRDefault="008E19A2" w:rsidP="008E19A2">
            <w:pPr>
              <w:rPr>
                <w:sz w:val="21"/>
                <w:szCs w:val="21"/>
              </w:rPr>
            </w:pPr>
            <w:r w:rsidRPr="00CB5D01">
              <w:rPr>
                <w:sz w:val="21"/>
                <w:szCs w:val="21"/>
              </w:rPr>
              <w:t>Če bo izbral obveščanje prek SMS ali elektronske pošte, bo obveščen ob vsaki posodobitvi rezultatov. V primeru pisnega obveščanja pa najpozneje 14 pred potekom roka.</w:t>
            </w:r>
          </w:p>
        </w:tc>
      </w:tr>
      <w:tr w:rsidR="00314A19" w:rsidRPr="00CB5D01" w:rsidTr="008E19A2">
        <w:trPr>
          <w:trHeight w:val="300"/>
        </w:trPr>
        <w:tc>
          <w:tcPr>
            <w:tcW w:w="450" w:type="dxa"/>
            <w:shd w:val="clear" w:color="auto" w:fill="auto"/>
            <w:noWrap/>
          </w:tcPr>
          <w:p w:rsidR="00314A19" w:rsidRPr="00CB5D01" w:rsidRDefault="00314A19">
            <w:pPr>
              <w:rPr>
                <w:sz w:val="21"/>
                <w:szCs w:val="21"/>
              </w:rPr>
            </w:pPr>
          </w:p>
        </w:tc>
        <w:tc>
          <w:tcPr>
            <w:tcW w:w="8612" w:type="dxa"/>
            <w:noWrap/>
          </w:tcPr>
          <w:p w:rsidR="00314A19" w:rsidRPr="00CB5D01" w:rsidRDefault="00314A19" w:rsidP="008E19A2">
            <w:pPr>
              <w:rPr>
                <w:sz w:val="21"/>
                <w:szCs w:val="21"/>
              </w:rPr>
            </w:pPr>
          </w:p>
        </w:tc>
      </w:tr>
      <w:tr w:rsidR="008E19A2" w:rsidRPr="00CB5D01" w:rsidTr="008E19A2">
        <w:trPr>
          <w:trHeight w:val="300"/>
        </w:trPr>
        <w:tc>
          <w:tcPr>
            <w:tcW w:w="450" w:type="dxa"/>
            <w:shd w:val="clear" w:color="auto" w:fill="auto"/>
            <w:noWrap/>
            <w:hideMark/>
          </w:tcPr>
          <w:p w:rsidR="008E19A2" w:rsidRPr="00CB5D01" w:rsidRDefault="008E19A2" w:rsidP="008E19A2">
            <w:pPr>
              <w:rPr>
                <w:sz w:val="21"/>
                <w:szCs w:val="21"/>
              </w:rPr>
            </w:pPr>
            <w:r w:rsidRPr="00CB5D01">
              <w:rPr>
                <w:sz w:val="21"/>
                <w:szCs w:val="21"/>
              </w:rPr>
              <w:t>21</w:t>
            </w:r>
          </w:p>
        </w:tc>
        <w:tc>
          <w:tcPr>
            <w:tcW w:w="8612" w:type="dxa"/>
            <w:shd w:val="clear" w:color="auto" w:fill="DEEAF6" w:themeFill="accent1" w:themeFillTint="33"/>
            <w:noWrap/>
            <w:hideMark/>
          </w:tcPr>
          <w:p w:rsidR="008E19A2" w:rsidRPr="00CB5D01" w:rsidRDefault="008E19A2" w:rsidP="00BA6297">
            <w:pPr>
              <w:rPr>
                <w:sz w:val="21"/>
                <w:szCs w:val="21"/>
              </w:rPr>
            </w:pPr>
            <w:r w:rsidRPr="00CB5D01">
              <w:rPr>
                <w:sz w:val="21"/>
                <w:szCs w:val="21"/>
              </w:rPr>
              <w:t xml:space="preserve">Pri nas večina čeprav se registrira ne more odpreti pregledovalnika - a je problem z dovoljenji ali z </w:t>
            </w:r>
            <w:r w:rsidR="00BA6297" w:rsidRPr="00CB5D01">
              <w:rPr>
                <w:sz w:val="21"/>
                <w:szCs w:val="21"/>
              </w:rPr>
              <w:t>računalniškimi</w:t>
            </w:r>
            <w:r w:rsidRPr="00CB5D01">
              <w:rPr>
                <w:sz w:val="21"/>
                <w:szCs w:val="21"/>
              </w:rPr>
              <w:t xml:space="preserve"> nastavitvami ? </w:t>
            </w:r>
          </w:p>
        </w:tc>
      </w:tr>
      <w:tr w:rsidR="008E19A2" w:rsidRPr="00CB5D01" w:rsidTr="008E19A2">
        <w:trPr>
          <w:trHeight w:val="300"/>
        </w:trPr>
        <w:tc>
          <w:tcPr>
            <w:tcW w:w="450" w:type="dxa"/>
            <w:shd w:val="clear" w:color="auto" w:fill="auto"/>
            <w:noWrap/>
            <w:hideMark/>
          </w:tcPr>
          <w:p w:rsidR="008E19A2" w:rsidRPr="00CB5D01" w:rsidRDefault="008E19A2">
            <w:pPr>
              <w:rPr>
                <w:sz w:val="21"/>
                <w:szCs w:val="21"/>
              </w:rPr>
            </w:pPr>
            <w:r w:rsidRPr="00CB5D01">
              <w:rPr>
                <w:sz w:val="21"/>
                <w:szCs w:val="21"/>
              </w:rPr>
              <w:t> </w:t>
            </w:r>
          </w:p>
        </w:tc>
        <w:tc>
          <w:tcPr>
            <w:tcW w:w="8612" w:type="dxa"/>
            <w:noWrap/>
            <w:hideMark/>
          </w:tcPr>
          <w:p w:rsidR="008E19A2" w:rsidRPr="00CB5D01" w:rsidRDefault="008E19A2" w:rsidP="008E19A2">
            <w:pPr>
              <w:rPr>
                <w:sz w:val="21"/>
                <w:szCs w:val="21"/>
              </w:rPr>
            </w:pPr>
            <w:r w:rsidRPr="00CB5D01">
              <w:rPr>
                <w:sz w:val="21"/>
                <w:szCs w:val="21"/>
              </w:rPr>
              <w:t>Izvedena je bila predstavitev pregledovalnika s strani službe RKG na MKGP.</w:t>
            </w:r>
          </w:p>
        </w:tc>
      </w:tr>
      <w:tr w:rsidR="00314A19" w:rsidRPr="00CB5D01" w:rsidTr="00314A19">
        <w:trPr>
          <w:trHeight w:val="300"/>
        </w:trPr>
        <w:tc>
          <w:tcPr>
            <w:tcW w:w="450" w:type="dxa"/>
            <w:shd w:val="clear" w:color="auto" w:fill="auto"/>
            <w:noWrap/>
          </w:tcPr>
          <w:p w:rsidR="00314A19" w:rsidRPr="00CB5D01" w:rsidRDefault="00314A19" w:rsidP="008E19A2">
            <w:pPr>
              <w:rPr>
                <w:sz w:val="21"/>
                <w:szCs w:val="21"/>
              </w:rPr>
            </w:pPr>
          </w:p>
        </w:tc>
        <w:tc>
          <w:tcPr>
            <w:tcW w:w="8612" w:type="dxa"/>
            <w:shd w:val="clear" w:color="auto" w:fill="auto"/>
            <w:noWrap/>
          </w:tcPr>
          <w:p w:rsidR="00314A19" w:rsidRPr="00CB5D01" w:rsidRDefault="00314A19">
            <w:pPr>
              <w:rPr>
                <w:sz w:val="21"/>
                <w:szCs w:val="21"/>
              </w:rPr>
            </w:pPr>
          </w:p>
        </w:tc>
      </w:tr>
      <w:tr w:rsidR="008E19A2" w:rsidRPr="00CB5D01" w:rsidTr="008E19A2">
        <w:trPr>
          <w:trHeight w:val="300"/>
        </w:trPr>
        <w:tc>
          <w:tcPr>
            <w:tcW w:w="450" w:type="dxa"/>
            <w:shd w:val="clear" w:color="auto" w:fill="auto"/>
            <w:noWrap/>
            <w:hideMark/>
          </w:tcPr>
          <w:p w:rsidR="008E19A2" w:rsidRPr="00CB5D01" w:rsidRDefault="008E19A2" w:rsidP="008E19A2">
            <w:pPr>
              <w:rPr>
                <w:sz w:val="21"/>
                <w:szCs w:val="21"/>
              </w:rPr>
            </w:pPr>
            <w:r w:rsidRPr="00CB5D01">
              <w:rPr>
                <w:sz w:val="21"/>
                <w:szCs w:val="21"/>
              </w:rPr>
              <w:t>23</w:t>
            </w:r>
          </w:p>
        </w:tc>
        <w:tc>
          <w:tcPr>
            <w:tcW w:w="8612" w:type="dxa"/>
            <w:shd w:val="clear" w:color="auto" w:fill="DEEAF6" w:themeFill="accent1" w:themeFillTint="33"/>
            <w:noWrap/>
            <w:hideMark/>
          </w:tcPr>
          <w:p w:rsidR="008E19A2" w:rsidRPr="00CB5D01" w:rsidRDefault="00BA6297" w:rsidP="00BA6297">
            <w:pPr>
              <w:rPr>
                <w:sz w:val="21"/>
                <w:szCs w:val="21"/>
              </w:rPr>
            </w:pPr>
            <w:r w:rsidRPr="00CB5D01">
              <w:rPr>
                <w:sz w:val="21"/>
                <w:szCs w:val="21"/>
              </w:rPr>
              <w:t xml:space="preserve">Ali bo </w:t>
            </w:r>
            <w:r w:rsidR="008E19A2" w:rsidRPr="00CB5D01">
              <w:rPr>
                <w:sz w:val="21"/>
                <w:szCs w:val="21"/>
              </w:rPr>
              <w:t xml:space="preserve">predstavitev sprememb registra drobnice in novega dostopa do </w:t>
            </w:r>
            <w:proofErr w:type="spellStart"/>
            <w:r w:rsidR="008E19A2" w:rsidRPr="00CB5D01">
              <w:rPr>
                <w:sz w:val="21"/>
                <w:szCs w:val="21"/>
              </w:rPr>
              <w:t>Volosa</w:t>
            </w:r>
            <w:proofErr w:type="spellEnd"/>
            <w:r w:rsidR="008E19A2" w:rsidRPr="00CB5D01">
              <w:rPr>
                <w:sz w:val="21"/>
                <w:szCs w:val="21"/>
              </w:rPr>
              <w:t>, registra drobnice</w:t>
            </w:r>
            <w:r w:rsidRPr="00CB5D01">
              <w:rPr>
                <w:sz w:val="21"/>
                <w:szCs w:val="21"/>
              </w:rPr>
              <w:t>?</w:t>
            </w:r>
            <w:r w:rsidR="008E19A2" w:rsidRPr="00CB5D01">
              <w:rPr>
                <w:sz w:val="21"/>
                <w:szCs w:val="21"/>
              </w:rPr>
              <w:t>.</w:t>
            </w:r>
          </w:p>
        </w:tc>
      </w:tr>
      <w:tr w:rsidR="008E19A2" w:rsidRPr="00CB5D01" w:rsidTr="008E19A2">
        <w:trPr>
          <w:trHeight w:val="300"/>
        </w:trPr>
        <w:tc>
          <w:tcPr>
            <w:tcW w:w="450" w:type="dxa"/>
            <w:shd w:val="clear" w:color="auto" w:fill="auto"/>
            <w:noWrap/>
            <w:hideMark/>
          </w:tcPr>
          <w:p w:rsidR="008E19A2" w:rsidRPr="00CB5D01" w:rsidRDefault="008E19A2">
            <w:pPr>
              <w:rPr>
                <w:sz w:val="21"/>
                <w:szCs w:val="21"/>
              </w:rPr>
            </w:pPr>
            <w:r w:rsidRPr="00CB5D01">
              <w:rPr>
                <w:sz w:val="21"/>
                <w:szCs w:val="21"/>
              </w:rPr>
              <w:t> </w:t>
            </w:r>
          </w:p>
        </w:tc>
        <w:tc>
          <w:tcPr>
            <w:tcW w:w="8612" w:type="dxa"/>
            <w:noWrap/>
            <w:hideMark/>
          </w:tcPr>
          <w:p w:rsidR="008E19A2" w:rsidRPr="00CB5D01" w:rsidRDefault="008E19A2" w:rsidP="008E19A2">
            <w:pPr>
              <w:rPr>
                <w:sz w:val="21"/>
                <w:szCs w:val="21"/>
              </w:rPr>
            </w:pPr>
            <w:r w:rsidRPr="00CB5D01">
              <w:rPr>
                <w:sz w:val="21"/>
                <w:szCs w:val="21"/>
              </w:rPr>
              <w:t>Da.</w:t>
            </w:r>
          </w:p>
        </w:tc>
      </w:tr>
      <w:tr w:rsidR="00314A19" w:rsidRPr="00CB5D01" w:rsidTr="008E19A2">
        <w:trPr>
          <w:trHeight w:val="300"/>
        </w:trPr>
        <w:tc>
          <w:tcPr>
            <w:tcW w:w="450" w:type="dxa"/>
            <w:shd w:val="clear" w:color="auto" w:fill="auto"/>
            <w:noWrap/>
          </w:tcPr>
          <w:p w:rsidR="00314A19" w:rsidRPr="00CB5D01" w:rsidRDefault="00314A19">
            <w:pPr>
              <w:rPr>
                <w:sz w:val="21"/>
                <w:szCs w:val="21"/>
              </w:rPr>
            </w:pPr>
          </w:p>
        </w:tc>
        <w:tc>
          <w:tcPr>
            <w:tcW w:w="8612" w:type="dxa"/>
            <w:noWrap/>
          </w:tcPr>
          <w:p w:rsidR="00314A19" w:rsidRPr="00CB5D01" w:rsidRDefault="00314A19" w:rsidP="008E19A2">
            <w:pPr>
              <w:rPr>
                <w:sz w:val="21"/>
                <w:szCs w:val="21"/>
              </w:rPr>
            </w:pPr>
          </w:p>
        </w:tc>
      </w:tr>
      <w:tr w:rsidR="008E19A2" w:rsidRPr="00CB5D01" w:rsidTr="008E19A2">
        <w:trPr>
          <w:trHeight w:val="300"/>
        </w:trPr>
        <w:tc>
          <w:tcPr>
            <w:tcW w:w="450" w:type="dxa"/>
            <w:shd w:val="clear" w:color="auto" w:fill="auto"/>
            <w:noWrap/>
            <w:hideMark/>
          </w:tcPr>
          <w:p w:rsidR="008E19A2" w:rsidRPr="00CB5D01" w:rsidRDefault="008E19A2" w:rsidP="008E19A2">
            <w:pPr>
              <w:rPr>
                <w:sz w:val="21"/>
                <w:szCs w:val="21"/>
              </w:rPr>
            </w:pPr>
            <w:r w:rsidRPr="00CB5D01">
              <w:rPr>
                <w:sz w:val="21"/>
                <w:szCs w:val="21"/>
              </w:rPr>
              <w:t>24</w:t>
            </w:r>
          </w:p>
        </w:tc>
        <w:tc>
          <w:tcPr>
            <w:tcW w:w="8612" w:type="dxa"/>
            <w:shd w:val="clear" w:color="auto" w:fill="DEEAF6" w:themeFill="accent1" w:themeFillTint="33"/>
            <w:noWrap/>
            <w:hideMark/>
          </w:tcPr>
          <w:p w:rsidR="008E19A2" w:rsidRPr="00CB5D01" w:rsidRDefault="008E19A2">
            <w:pPr>
              <w:rPr>
                <w:sz w:val="21"/>
                <w:szCs w:val="21"/>
              </w:rPr>
            </w:pPr>
            <w:r w:rsidRPr="00CB5D01">
              <w:rPr>
                <w:sz w:val="21"/>
                <w:szCs w:val="21"/>
              </w:rPr>
              <w:t>So na pregledovalniku že zadnje verzije kontrolnih slojev 2023 ali se bodo ti pred subvencijami še spreminjali?</w:t>
            </w:r>
          </w:p>
        </w:tc>
      </w:tr>
      <w:tr w:rsidR="008E19A2" w:rsidRPr="00CB5D01" w:rsidTr="008E19A2">
        <w:trPr>
          <w:trHeight w:val="300"/>
        </w:trPr>
        <w:tc>
          <w:tcPr>
            <w:tcW w:w="450" w:type="dxa"/>
            <w:shd w:val="clear" w:color="auto" w:fill="auto"/>
            <w:noWrap/>
            <w:hideMark/>
          </w:tcPr>
          <w:p w:rsidR="008E19A2" w:rsidRPr="00CB5D01" w:rsidRDefault="008E19A2">
            <w:pPr>
              <w:rPr>
                <w:sz w:val="21"/>
                <w:szCs w:val="21"/>
              </w:rPr>
            </w:pPr>
            <w:r w:rsidRPr="00CB5D01">
              <w:rPr>
                <w:sz w:val="21"/>
                <w:szCs w:val="21"/>
              </w:rPr>
              <w:t> </w:t>
            </w:r>
          </w:p>
        </w:tc>
        <w:tc>
          <w:tcPr>
            <w:tcW w:w="8612" w:type="dxa"/>
            <w:noWrap/>
            <w:hideMark/>
          </w:tcPr>
          <w:p w:rsidR="008E19A2" w:rsidRPr="00CB5D01" w:rsidRDefault="008E19A2" w:rsidP="008E19A2">
            <w:pPr>
              <w:rPr>
                <w:sz w:val="21"/>
                <w:szCs w:val="21"/>
              </w:rPr>
            </w:pPr>
            <w:r w:rsidRPr="00CB5D01">
              <w:rPr>
                <w:sz w:val="21"/>
                <w:szCs w:val="21"/>
              </w:rPr>
              <w:t xml:space="preserve">So, stanje grafičnih </w:t>
            </w:r>
            <w:r w:rsidR="00BA6297" w:rsidRPr="00CB5D01">
              <w:rPr>
                <w:sz w:val="21"/>
                <w:szCs w:val="21"/>
              </w:rPr>
              <w:t>evidenc</w:t>
            </w:r>
            <w:r w:rsidRPr="00CB5D01">
              <w:rPr>
                <w:sz w:val="21"/>
                <w:szCs w:val="21"/>
              </w:rPr>
              <w:t xml:space="preserve"> pa je razvidno tudi iz </w:t>
            </w:r>
            <w:r w:rsidR="00BA6297" w:rsidRPr="00CB5D01">
              <w:rPr>
                <w:sz w:val="21"/>
                <w:szCs w:val="21"/>
              </w:rPr>
              <w:t>pretiska</w:t>
            </w:r>
            <w:r w:rsidRPr="00CB5D01">
              <w:rPr>
                <w:sz w:val="21"/>
                <w:szCs w:val="21"/>
              </w:rPr>
              <w:t>, objavljenega na spletni strani agencije (</w:t>
            </w:r>
            <w:r w:rsidR="00BA6297" w:rsidRPr="00CB5D01">
              <w:rPr>
                <w:sz w:val="21"/>
                <w:szCs w:val="21"/>
              </w:rPr>
              <w:t>pred izpolnjen</w:t>
            </w:r>
            <w:r w:rsidRPr="00CB5D01">
              <w:rPr>
                <w:sz w:val="21"/>
                <w:szCs w:val="21"/>
              </w:rPr>
              <w:t xml:space="preserve"> obrazec).</w:t>
            </w:r>
          </w:p>
        </w:tc>
      </w:tr>
      <w:tr w:rsidR="00314A19" w:rsidRPr="00CB5D01" w:rsidTr="008E19A2">
        <w:trPr>
          <w:trHeight w:val="300"/>
        </w:trPr>
        <w:tc>
          <w:tcPr>
            <w:tcW w:w="450" w:type="dxa"/>
            <w:shd w:val="clear" w:color="auto" w:fill="auto"/>
            <w:noWrap/>
          </w:tcPr>
          <w:p w:rsidR="00314A19" w:rsidRPr="00CB5D01" w:rsidRDefault="00314A19">
            <w:pPr>
              <w:rPr>
                <w:sz w:val="21"/>
                <w:szCs w:val="21"/>
              </w:rPr>
            </w:pPr>
          </w:p>
        </w:tc>
        <w:tc>
          <w:tcPr>
            <w:tcW w:w="8612" w:type="dxa"/>
            <w:noWrap/>
          </w:tcPr>
          <w:p w:rsidR="00314A19" w:rsidRPr="00CB5D01" w:rsidRDefault="00314A19" w:rsidP="008E19A2">
            <w:pPr>
              <w:rPr>
                <w:sz w:val="21"/>
                <w:szCs w:val="21"/>
              </w:rPr>
            </w:pPr>
          </w:p>
        </w:tc>
      </w:tr>
      <w:tr w:rsidR="008E19A2" w:rsidRPr="00CB5D01" w:rsidTr="008E19A2">
        <w:trPr>
          <w:trHeight w:val="300"/>
        </w:trPr>
        <w:tc>
          <w:tcPr>
            <w:tcW w:w="450" w:type="dxa"/>
            <w:shd w:val="clear" w:color="auto" w:fill="auto"/>
            <w:noWrap/>
            <w:hideMark/>
          </w:tcPr>
          <w:p w:rsidR="008E19A2" w:rsidRPr="00CB5D01" w:rsidRDefault="008E19A2" w:rsidP="008E19A2">
            <w:pPr>
              <w:rPr>
                <w:sz w:val="21"/>
                <w:szCs w:val="21"/>
              </w:rPr>
            </w:pPr>
            <w:r w:rsidRPr="00CB5D01">
              <w:rPr>
                <w:sz w:val="21"/>
                <w:szCs w:val="21"/>
              </w:rPr>
              <w:t>25</w:t>
            </w:r>
          </w:p>
        </w:tc>
        <w:tc>
          <w:tcPr>
            <w:tcW w:w="8612" w:type="dxa"/>
            <w:shd w:val="clear" w:color="auto" w:fill="DEEAF6" w:themeFill="accent1" w:themeFillTint="33"/>
            <w:noWrap/>
            <w:hideMark/>
          </w:tcPr>
          <w:p w:rsidR="008E19A2" w:rsidRPr="00CB5D01" w:rsidRDefault="008E19A2">
            <w:pPr>
              <w:rPr>
                <w:sz w:val="21"/>
                <w:szCs w:val="21"/>
              </w:rPr>
            </w:pPr>
            <w:r w:rsidRPr="00CB5D01">
              <w:rPr>
                <w:sz w:val="21"/>
                <w:szCs w:val="21"/>
              </w:rPr>
              <w:t>Sopotnik je torej nezmotljiv kar se tiče prijavljene rastline ali rabe?</w:t>
            </w:r>
          </w:p>
        </w:tc>
      </w:tr>
      <w:tr w:rsidR="008E19A2" w:rsidRPr="00CB5D01" w:rsidTr="008E19A2">
        <w:trPr>
          <w:trHeight w:val="300"/>
        </w:trPr>
        <w:tc>
          <w:tcPr>
            <w:tcW w:w="450" w:type="dxa"/>
            <w:shd w:val="clear" w:color="auto" w:fill="auto"/>
            <w:noWrap/>
            <w:hideMark/>
          </w:tcPr>
          <w:p w:rsidR="008E19A2" w:rsidRPr="00CB5D01" w:rsidRDefault="008E19A2">
            <w:pPr>
              <w:rPr>
                <w:sz w:val="21"/>
                <w:szCs w:val="21"/>
              </w:rPr>
            </w:pPr>
            <w:r w:rsidRPr="00CB5D01">
              <w:rPr>
                <w:sz w:val="21"/>
                <w:szCs w:val="21"/>
              </w:rPr>
              <w:t> </w:t>
            </w:r>
          </w:p>
        </w:tc>
        <w:tc>
          <w:tcPr>
            <w:tcW w:w="8612" w:type="dxa"/>
            <w:noWrap/>
            <w:hideMark/>
          </w:tcPr>
          <w:p w:rsidR="008E19A2" w:rsidRPr="00CB5D01" w:rsidRDefault="008E19A2" w:rsidP="008E19A2">
            <w:pPr>
              <w:rPr>
                <w:sz w:val="21"/>
                <w:szCs w:val="21"/>
              </w:rPr>
            </w:pPr>
            <w:r w:rsidRPr="00CB5D01">
              <w:rPr>
                <w:sz w:val="21"/>
                <w:szCs w:val="21"/>
              </w:rPr>
              <w:t>V primeru, da se nosilec KMG ne strinja z ugotovitvijo v SOPOTNIK-u lahko vedno poda pripombo, pojasnilo ali pošlje dokazilo.</w:t>
            </w:r>
          </w:p>
        </w:tc>
      </w:tr>
      <w:tr w:rsidR="00314A19" w:rsidRPr="00CB5D01" w:rsidTr="008E19A2">
        <w:trPr>
          <w:trHeight w:val="300"/>
        </w:trPr>
        <w:tc>
          <w:tcPr>
            <w:tcW w:w="450" w:type="dxa"/>
            <w:shd w:val="clear" w:color="auto" w:fill="auto"/>
            <w:noWrap/>
          </w:tcPr>
          <w:p w:rsidR="00314A19" w:rsidRPr="00CB5D01" w:rsidRDefault="00314A19">
            <w:pPr>
              <w:rPr>
                <w:sz w:val="21"/>
                <w:szCs w:val="21"/>
              </w:rPr>
            </w:pPr>
          </w:p>
        </w:tc>
        <w:tc>
          <w:tcPr>
            <w:tcW w:w="8612" w:type="dxa"/>
            <w:noWrap/>
          </w:tcPr>
          <w:p w:rsidR="00314A19" w:rsidRPr="00CB5D01" w:rsidRDefault="00314A19" w:rsidP="008E19A2">
            <w:pPr>
              <w:rPr>
                <w:sz w:val="21"/>
                <w:szCs w:val="21"/>
              </w:rPr>
            </w:pPr>
          </w:p>
        </w:tc>
      </w:tr>
      <w:tr w:rsidR="00BA6297" w:rsidRPr="00CB5D01" w:rsidTr="000267A7">
        <w:trPr>
          <w:trHeight w:val="300"/>
        </w:trPr>
        <w:tc>
          <w:tcPr>
            <w:tcW w:w="450" w:type="dxa"/>
            <w:shd w:val="clear" w:color="auto" w:fill="auto"/>
            <w:noWrap/>
            <w:hideMark/>
          </w:tcPr>
          <w:p w:rsidR="00BA6297" w:rsidRPr="00CB5D01" w:rsidRDefault="00BA6297">
            <w:pPr>
              <w:rPr>
                <w:sz w:val="21"/>
                <w:szCs w:val="21"/>
              </w:rPr>
            </w:pPr>
            <w:r w:rsidRPr="00CB5D01">
              <w:rPr>
                <w:sz w:val="21"/>
                <w:szCs w:val="21"/>
              </w:rPr>
              <w:t>27</w:t>
            </w:r>
          </w:p>
        </w:tc>
        <w:tc>
          <w:tcPr>
            <w:tcW w:w="8612" w:type="dxa"/>
            <w:shd w:val="clear" w:color="auto" w:fill="DEEAF6" w:themeFill="accent1" w:themeFillTint="33"/>
            <w:noWrap/>
            <w:hideMark/>
          </w:tcPr>
          <w:p w:rsidR="00BA6297" w:rsidRPr="00CB5D01" w:rsidRDefault="00BA6297" w:rsidP="008E19A2">
            <w:pPr>
              <w:rPr>
                <w:sz w:val="21"/>
                <w:szCs w:val="21"/>
              </w:rPr>
            </w:pPr>
            <w:r w:rsidRPr="00CB5D01">
              <w:rPr>
                <w:sz w:val="21"/>
                <w:szCs w:val="21"/>
              </w:rPr>
              <w:t>Umiki so dovoljeni najkasneje 15 dni pred datumom prvega plačila. Kako naj stranka ve, da bo znotraj 15 dni plačilo in ne sme umikati zahtevka?</w:t>
            </w:r>
          </w:p>
        </w:tc>
      </w:tr>
      <w:tr w:rsidR="00BA6297" w:rsidRPr="00CB5D01" w:rsidTr="000267A7">
        <w:trPr>
          <w:trHeight w:val="300"/>
        </w:trPr>
        <w:tc>
          <w:tcPr>
            <w:tcW w:w="450" w:type="dxa"/>
            <w:shd w:val="clear" w:color="auto" w:fill="auto"/>
            <w:noWrap/>
          </w:tcPr>
          <w:p w:rsidR="00BA6297" w:rsidRPr="00CB5D01" w:rsidRDefault="00BA6297" w:rsidP="008E19A2">
            <w:pPr>
              <w:rPr>
                <w:sz w:val="21"/>
                <w:szCs w:val="21"/>
              </w:rPr>
            </w:pPr>
            <w:r w:rsidRPr="00CB5D01">
              <w:rPr>
                <w:sz w:val="21"/>
                <w:szCs w:val="21"/>
              </w:rPr>
              <w:t> </w:t>
            </w:r>
          </w:p>
        </w:tc>
        <w:tc>
          <w:tcPr>
            <w:tcW w:w="8612" w:type="dxa"/>
            <w:noWrap/>
          </w:tcPr>
          <w:p w:rsidR="00BA6297" w:rsidRPr="00CB5D01" w:rsidRDefault="00BA6297">
            <w:pPr>
              <w:rPr>
                <w:sz w:val="21"/>
                <w:szCs w:val="21"/>
              </w:rPr>
            </w:pPr>
            <w:r w:rsidRPr="00CB5D01">
              <w:rPr>
                <w:sz w:val="21"/>
                <w:szCs w:val="21"/>
              </w:rPr>
              <w:t>Če bo zahtevek za umik prišel prepozno (če bo odločba že v odpošiljanju), se ne bo mogel upoštevati.</w:t>
            </w:r>
          </w:p>
        </w:tc>
      </w:tr>
      <w:tr w:rsidR="00BA6297" w:rsidRPr="00CB5D01" w:rsidTr="000267A7">
        <w:trPr>
          <w:trHeight w:val="300"/>
        </w:trPr>
        <w:tc>
          <w:tcPr>
            <w:tcW w:w="450" w:type="dxa"/>
            <w:shd w:val="clear" w:color="auto" w:fill="auto"/>
            <w:noWrap/>
            <w:hideMark/>
          </w:tcPr>
          <w:p w:rsidR="00BA6297" w:rsidRPr="00CB5D01" w:rsidRDefault="00BA6297" w:rsidP="008E19A2">
            <w:pPr>
              <w:rPr>
                <w:sz w:val="21"/>
                <w:szCs w:val="21"/>
              </w:rPr>
            </w:pPr>
          </w:p>
        </w:tc>
        <w:tc>
          <w:tcPr>
            <w:tcW w:w="8612" w:type="dxa"/>
            <w:shd w:val="clear" w:color="auto" w:fill="auto"/>
            <w:noWrap/>
            <w:hideMark/>
          </w:tcPr>
          <w:p w:rsidR="00BA6297" w:rsidRPr="00CB5D01" w:rsidRDefault="00BA6297">
            <w:pPr>
              <w:rPr>
                <w:sz w:val="21"/>
                <w:szCs w:val="21"/>
              </w:rPr>
            </w:pPr>
          </w:p>
        </w:tc>
      </w:tr>
      <w:tr w:rsidR="00BA6297" w:rsidRPr="00CB5D01" w:rsidTr="000267A7">
        <w:trPr>
          <w:trHeight w:val="300"/>
        </w:trPr>
        <w:tc>
          <w:tcPr>
            <w:tcW w:w="450" w:type="dxa"/>
            <w:shd w:val="clear" w:color="auto" w:fill="auto"/>
            <w:noWrap/>
            <w:hideMark/>
          </w:tcPr>
          <w:p w:rsidR="00BA6297" w:rsidRPr="00CB5D01" w:rsidRDefault="00BA6297">
            <w:pPr>
              <w:rPr>
                <w:sz w:val="21"/>
                <w:szCs w:val="21"/>
              </w:rPr>
            </w:pPr>
            <w:r w:rsidRPr="00CB5D01">
              <w:rPr>
                <w:sz w:val="21"/>
                <w:szCs w:val="21"/>
              </w:rPr>
              <w:t>28</w:t>
            </w:r>
          </w:p>
        </w:tc>
        <w:tc>
          <w:tcPr>
            <w:tcW w:w="8612" w:type="dxa"/>
            <w:shd w:val="clear" w:color="auto" w:fill="DEEAF6" w:themeFill="accent1" w:themeFillTint="33"/>
            <w:noWrap/>
            <w:hideMark/>
          </w:tcPr>
          <w:p w:rsidR="00BA6297" w:rsidRPr="00CB5D01" w:rsidRDefault="00BA6297" w:rsidP="008E19A2">
            <w:pPr>
              <w:rPr>
                <w:sz w:val="21"/>
                <w:szCs w:val="21"/>
              </w:rPr>
            </w:pPr>
            <w:r w:rsidRPr="00CB5D01">
              <w:rPr>
                <w:sz w:val="21"/>
                <w:szCs w:val="21"/>
              </w:rPr>
              <w:t>Uredba o neposrednih plačilih, priloga 9. nikjer ne vidim omenjene drobnice?</w:t>
            </w:r>
          </w:p>
        </w:tc>
      </w:tr>
      <w:tr w:rsidR="00BA6297" w:rsidRPr="00CB5D01" w:rsidTr="000267A7">
        <w:trPr>
          <w:trHeight w:val="300"/>
        </w:trPr>
        <w:tc>
          <w:tcPr>
            <w:tcW w:w="450" w:type="dxa"/>
            <w:shd w:val="clear" w:color="auto" w:fill="auto"/>
            <w:noWrap/>
          </w:tcPr>
          <w:p w:rsidR="00BA6297" w:rsidRPr="00CB5D01" w:rsidRDefault="00BA6297" w:rsidP="008E19A2">
            <w:pPr>
              <w:rPr>
                <w:sz w:val="21"/>
                <w:szCs w:val="21"/>
              </w:rPr>
            </w:pPr>
            <w:r w:rsidRPr="00CB5D01">
              <w:rPr>
                <w:sz w:val="21"/>
                <w:szCs w:val="21"/>
              </w:rPr>
              <w:t> </w:t>
            </w:r>
          </w:p>
        </w:tc>
        <w:tc>
          <w:tcPr>
            <w:tcW w:w="8612" w:type="dxa"/>
            <w:noWrap/>
          </w:tcPr>
          <w:p w:rsidR="00BA6297" w:rsidRPr="00CB5D01" w:rsidRDefault="00BA6297">
            <w:pPr>
              <w:rPr>
                <w:sz w:val="21"/>
                <w:szCs w:val="21"/>
              </w:rPr>
            </w:pPr>
            <w:r w:rsidRPr="00CB5D01">
              <w:rPr>
                <w:sz w:val="21"/>
                <w:szCs w:val="21"/>
              </w:rPr>
              <w:t>Tabela v prilogi 9 je strokovno usklajena in drobnica je namenoma izvzeta, ker so živali drobnice praviloma na paši.</w:t>
            </w:r>
          </w:p>
        </w:tc>
      </w:tr>
      <w:tr w:rsidR="00BA6297" w:rsidRPr="00CB5D01" w:rsidTr="000267A7">
        <w:trPr>
          <w:trHeight w:val="300"/>
        </w:trPr>
        <w:tc>
          <w:tcPr>
            <w:tcW w:w="450" w:type="dxa"/>
            <w:shd w:val="clear" w:color="auto" w:fill="auto"/>
            <w:noWrap/>
            <w:hideMark/>
          </w:tcPr>
          <w:p w:rsidR="00BA6297" w:rsidRPr="00CB5D01" w:rsidRDefault="00BA6297" w:rsidP="008E19A2">
            <w:pPr>
              <w:rPr>
                <w:sz w:val="21"/>
                <w:szCs w:val="21"/>
              </w:rPr>
            </w:pPr>
          </w:p>
        </w:tc>
        <w:tc>
          <w:tcPr>
            <w:tcW w:w="8612" w:type="dxa"/>
            <w:shd w:val="clear" w:color="auto" w:fill="auto"/>
            <w:noWrap/>
            <w:hideMark/>
          </w:tcPr>
          <w:p w:rsidR="00BA6297" w:rsidRPr="00CB5D01" w:rsidRDefault="00BA6297">
            <w:pPr>
              <w:rPr>
                <w:sz w:val="21"/>
                <w:szCs w:val="21"/>
              </w:rPr>
            </w:pPr>
          </w:p>
        </w:tc>
      </w:tr>
      <w:tr w:rsidR="00BA6297" w:rsidRPr="00CB5D01" w:rsidTr="000267A7">
        <w:trPr>
          <w:trHeight w:val="300"/>
        </w:trPr>
        <w:tc>
          <w:tcPr>
            <w:tcW w:w="450" w:type="dxa"/>
            <w:shd w:val="clear" w:color="auto" w:fill="auto"/>
            <w:noWrap/>
            <w:hideMark/>
          </w:tcPr>
          <w:p w:rsidR="00BA6297" w:rsidRPr="00CB5D01" w:rsidRDefault="00BA6297">
            <w:pPr>
              <w:rPr>
                <w:sz w:val="21"/>
                <w:szCs w:val="21"/>
              </w:rPr>
            </w:pPr>
            <w:r w:rsidRPr="00CB5D01">
              <w:rPr>
                <w:sz w:val="21"/>
                <w:szCs w:val="21"/>
              </w:rPr>
              <w:t>29</w:t>
            </w:r>
          </w:p>
        </w:tc>
        <w:tc>
          <w:tcPr>
            <w:tcW w:w="8612" w:type="dxa"/>
            <w:shd w:val="clear" w:color="auto" w:fill="DEEAF6" w:themeFill="accent1" w:themeFillTint="33"/>
            <w:noWrap/>
            <w:hideMark/>
          </w:tcPr>
          <w:p w:rsidR="00BA6297" w:rsidRPr="00CB5D01" w:rsidRDefault="00BA6297" w:rsidP="008E19A2">
            <w:pPr>
              <w:rPr>
                <w:sz w:val="21"/>
                <w:szCs w:val="21"/>
              </w:rPr>
            </w:pPr>
            <w:r w:rsidRPr="00CB5D01">
              <w:rPr>
                <w:sz w:val="21"/>
                <w:szCs w:val="21"/>
              </w:rPr>
              <w:t>V odgovorih na vprašanja pogojenosti pišete, da če se gnoj odda vrtičkarjem, se oddaja količine gnoja ne bo upoštevala oddajalcu, če vrtičkar nima vpisanih površin. Zakaj potem dokazila o prodaji (računi, podpisan obrazec)? zakaj sploh taka odločitev, če imajo dokazilo?</w:t>
            </w:r>
          </w:p>
        </w:tc>
      </w:tr>
      <w:tr w:rsidR="00BA6297" w:rsidRPr="00CB5D01" w:rsidTr="000267A7">
        <w:trPr>
          <w:trHeight w:val="300"/>
        </w:trPr>
        <w:tc>
          <w:tcPr>
            <w:tcW w:w="450" w:type="dxa"/>
            <w:shd w:val="clear" w:color="auto" w:fill="auto"/>
            <w:noWrap/>
          </w:tcPr>
          <w:p w:rsidR="00BA6297" w:rsidRPr="00CB5D01" w:rsidRDefault="00BA6297" w:rsidP="008E19A2">
            <w:pPr>
              <w:rPr>
                <w:sz w:val="21"/>
                <w:szCs w:val="21"/>
              </w:rPr>
            </w:pPr>
            <w:r w:rsidRPr="00CB5D01">
              <w:rPr>
                <w:sz w:val="21"/>
                <w:szCs w:val="21"/>
              </w:rPr>
              <w:t> </w:t>
            </w:r>
          </w:p>
        </w:tc>
        <w:tc>
          <w:tcPr>
            <w:tcW w:w="8612" w:type="dxa"/>
            <w:noWrap/>
          </w:tcPr>
          <w:p w:rsidR="00BA6297" w:rsidRPr="00CB5D01" w:rsidRDefault="00BA6297">
            <w:pPr>
              <w:rPr>
                <w:sz w:val="21"/>
                <w:szCs w:val="21"/>
              </w:rPr>
            </w:pPr>
            <w:r w:rsidRPr="00CB5D01">
              <w:rPr>
                <w:sz w:val="21"/>
                <w:szCs w:val="21"/>
              </w:rPr>
              <w:t xml:space="preserve">Oddajalcu se bo upoštevalo, če bo prodal v različnih oblikah na trgu (tudi </w:t>
            </w:r>
            <w:r w:rsidR="00E0262B" w:rsidRPr="00CB5D01">
              <w:rPr>
                <w:sz w:val="21"/>
                <w:szCs w:val="21"/>
              </w:rPr>
              <w:t>vrtičkarju</w:t>
            </w:r>
            <w:r w:rsidRPr="00CB5D01">
              <w:rPr>
                <w:sz w:val="21"/>
                <w:szCs w:val="21"/>
              </w:rPr>
              <w:t>). Priloži se dokazilo o prodaji ali podpis prejemnika. Sistem bo enak, kot je bil do zdaj. Če pa oddaš kmetijskemu gospodarstvu, ki nima površin, se pa tudi oddajalcu ne bo upoštevalo.</w:t>
            </w:r>
          </w:p>
        </w:tc>
      </w:tr>
      <w:tr w:rsidR="00BA6297" w:rsidRPr="00CB5D01" w:rsidTr="000267A7">
        <w:trPr>
          <w:trHeight w:val="300"/>
        </w:trPr>
        <w:tc>
          <w:tcPr>
            <w:tcW w:w="450" w:type="dxa"/>
            <w:shd w:val="clear" w:color="auto" w:fill="auto"/>
            <w:noWrap/>
            <w:hideMark/>
          </w:tcPr>
          <w:p w:rsidR="00BA6297" w:rsidRPr="00CB5D01" w:rsidRDefault="00BA6297" w:rsidP="008E19A2">
            <w:pPr>
              <w:rPr>
                <w:sz w:val="21"/>
                <w:szCs w:val="21"/>
              </w:rPr>
            </w:pPr>
          </w:p>
        </w:tc>
        <w:tc>
          <w:tcPr>
            <w:tcW w:w="8612" w:type="dxa"/>
            <w:shd w:val="clear" w:color="auto" w:fill="auto"/>
            <w:noWrap/>
            <w:hideMark/>
          </w:tcPr>
          <w:p w:rsidR="00BA6297" w:rsidRPr="00CB5D01" w:rsidRDefault="00BA6297">
            <w:pPr>
              <w:rPr>
                <w:sz w:val="21"/>
                <w:szCs w:val="21"/>
              </w:rPr>
            </w:pPr>
          </w:p>
        </w:tc>
      </w:tr>
      <w:tr w:rsidR="00B84D43" w:rsidRPr="00CB5D01" w:rsidTr="000267A7">
        <w:trPr>
          <w:trHeight w:val="300"/>
        </w:trPr>
        <w:tc>
          <w:tcPr>
            <w:tcW w:w="450" w:type="dxa"/>
            <w:shd w:val="clear" w:color="auto" w:fill="auto"/>
            <w:noWrap/>
          </w:tcPr>
          <w:p w:rsidR="00B84D43" w:rsidRPr="00CB5D01" w:rsidRDefault="00B84D43" w:rsidP="008E19A2">
            <w:pPr>
              <w:rPr>
                <w:sz w:val="21"/>
                <w:szCs w:val="21"/>
              </w:rPr>
            </w:pPr>
          </w:p>
        </w:tc>
        <w:tc>
          <w:tcPr>
            <w:tcW w:w="8612" w:type="dxa"/>
            <w:shd w:val="clear" w:color="auto" w:fill="auto"/>
            <w:noWrap/>
          </w:tcPr>
          <w:p w:rsidR="00B84D43" w:rsidRPr="00CB5D01" w:rsidRDefault="00B84D43">
            <w:pPr>
              <w:rPr>
                <w:sz w:val="21"/>
                <w:szCs w:val="21"/>
              </w:rPr>
            </w:pPr>
          </w:p>
        </w:tc>
      </w:tr>
      <w:tr w:rsidR="00BA6297" w:rsidRPr="00CB5D01" w:rsidTr="000267A7">
        <w:trPr>
          <w:trHeight w:val="300"/>
        </w:trPr>
        <w:tc>
          <w:tcPr>
            <w:tcW w:w="450" w:type="dxa"/>
            <w:shd w:val="clear" w:color="auto" w:fill="auto"/>
            <w:noWrap/>
            <w:hideMark/>
          </w:tcPr>
          <w:p w:rsidR="00BA6297" w:rsidRPr="00CB5D01" w:rsidRDefault="00BA6297">
            <w:pPr>
              <w:rPr>
                <w:sz w:val="21"/>
                <w:szCs w:val="21"/>
              </w:rPr>
            </w:pPr>
            <w:r w:rsidRPr="00CB5D01">
              <w:rPr>
                <w:sz w:val="21"/>
                <w:szCs w:val="21"/>
              </w:rPr>
              <w:t>30</w:t>
            </w:r>
          </w:p>
        </w:tc>
        <w:tc>
          <w:tcPr>
            <w:tcW w:w="8612" w:type="dxa"/>
            <w:shd w:val="clear" w:color="auto" w:fill="DEEAF6" w:themeFill="accent1" w:themeFillTint="33"/>
            <w:noWrap/>
            <w:hideMark/>
          </w:tcPr>
          <w:p w:rsidR="00BA6297" w:rsidRPr="00CB5D01" w:rsidRDefault="00BA6297" w:rsidP="008E19A2">
            <w:pPr>
              <w:rPr>
                <w:sz w:val="21"/>
                <w:szCs w:val="21"/>
              </w:rPr>
            </w:pPr>
            <w:r w:rsidRPr="00CB5D01">
              <w:rPr>
                <w:sz w:val="21"/>
                <w:szCs w:val="21"/>
              </w:rPr>
              <w:t xml:space="preserve">Zakaj v GERK pregledovalniku niso ostali kontrolni sloji preteklih let? Do sedaj je bila praksa, da so bili vidni poleg slojev zadnjega leta tudi sloji vseh </w:t>
            </w:r>
            <w:proofErr w:type="spellStart"/>
            <w:r w:rsidRPr="00CB5D01">
              <w:rPr>
                <w:sz w:val="21"/>
                <w:szCs w:val="21"/>
              </w:rPr>
              <w:t>pretelih</w:t>
            </w:r>
            <w:proofErr w:type="spellEnd"/>
            <w:r w:rsidRPr="00CB5D01">
              <w:rPr>
                <w:sz w:val="21"/>
                <w:szCs w:val="21"/>
              </w:rPr>
              <w:t xml:space="preserve"> let.</w:t>
            </w:r>
          </w:p>
        </w:tc>
      </w:tr>
      <w:tr w:rsidR="00BA6297" w:rsidRPr="00CB5D01" w:rsidTr="000267A7">
        <w:trPr>
          <w:trHeight w:val="300"/>
        </w:trPr>
        <w:tc>
          <w:tcPr>
            <w:tcW w:w="450" w:type="dxa"/>
            <w:shd w:val="clear" w:color="auto" w:fill="auto"/>
            <w:noWrap/>
          </w:tcPr>
          <w:p w:rsidR="00BA6297" w:rsidRPr="00CB5D01" w:rsidRDefault="00BA6297" w:rsidP="008E19A2">
            <w:pPr>
              <w:rPr>
                <w:sz w:val="21"/>
                <w:szCs w:val="21"/>
              </w:rPr>
            </w:pPr>
            <w:r w:rsidRPr="00CB5D01">
              <w:rPr>
                <w:sz w:val="21"/>
                <w:szCs w:val="21"/>
              </w:rPr>
              <w:t> </w:t>
            </w:r>
          </w:p>
        </w:tc>
        <w:tc>
          <w:tcPr>
            <w:tcW w:w="8612" w:type="dxa"/>
            <w:noWrap/>
          </w:tcPr>
          <w:p w:rsidR="00BA6297" w:rsidRPr="00CB5D01" w:rsidRDefault="00BA6297">
            <w:pPr>
              <w:rPr>
                <w:sz w:val="21"/>
                <w:szCs w:val="21"/>
              </w:rPr>
            </w:pPr>
            <w:r w:rsidRPr="00CB5D01">
              <w:rPr>
                <w:sz w:val="21"/>
                <w:szCs w:val="21"/>
              </w:rPr>
              <w:t>Sloji so z novim obdobjem izvajanja strateškega načrta novi in kot taki relevantni samo objavljeni. Umaknili smo jih, ker zaradi velikega števila slojev, vse skupaj postaja nepregledno. Že lani so bili objavljeni samo sloji preteklega leta.</w:t>
            </w:r>
          </w:p>
        </w:tc>
      </w:tr>
      <w:tr w:rsidR="00BA6297" w:rsidRPr="00CB5D01" w:rsidTr="00941B57">
        <w:trPr>
          <w:trHeight w:val="300"/>
        </w:trPr>
        <w:tc>
          <w:tcPr>
            <w:tcW w:w="450" w:type="dxa"/>
            <w:shd w:val="clear" w:color="auto" w:fill="auto"/>
            <w:noWrap/>
          </w:tcPr>
          <w:p w:rsidR="00BA6297" w:rsidRPr="00CB5D01" w:rsidRDefault="00BA6297" w:rsidP="008E19A2">
            <w:pPr>
              <w:rPr>
                <w:sz w:val="21"/>
                <w:szCs w:val="21"/>
              </w:rPr>
            </w:pPr>
          </w:p>
        </w:tc>
        <w:tc>
          <w:tcPr>
            <w:tcW w:w="8612" w:type="dxa"/>
            <w:shd w:val="clear" w:color="auto" w:fill="auto"/>
            <w:noWrap/>
          </w:tcPr>
          <w:p w:rsidR="00BA6297" w:rsidRPr="00CB5D01" w:rsidRDefault="00BA6297">
            <w:pPr>
              <w:rPr>
                <w:sz w:val="21"/>
                <w:szCs w:val="21"/>
              </w:rPr>
            </w:pPr>
          </w:p>
        </w:tc>
      </w:tr>
      <w:tr w:rsidR="00BA6297" w:rsidRPr="00CB5D01" w:rsidTr="003A21FA">
        <w:trPr>
          <w:trHeight w:val="300"/>
        </w:trPr>
        <w:tc>
          <w:tcPr>
            <w:tcW w:w="450" w:type="dxa"/>
            <w:shd w:val="clear" w:color="auto" w:fill="auto"/>
            <w:noWrap/>
          </w:tcPr>
          <w:p w:rsidR="00BA6297" w:rsidRPr="00CB5D01" w:rsidRDefault="00BA6297">
            <w:pPr>
              <w:rPr>
                <w:sz w:val="21"/>
                <w:szCs w:val="21"/>
              </w:rPr>
            </w:pPr>
          </w:p>
        </w:tc>
        <w:tc>
          <w:tcPr>
            <w:tcW w:w="8612" w:type="dxa"/>
            <w:noWrap/>
          </w:tcPr>
          <w:p w:rsidR="00BA6297" w:rsidRPr="00CB5D01" w:rsidRDefault="00BA6297" w:rsidP="008E19A2">
            <w:pPr>
              <w:rPr>
                <w:sz w:val="21"/>
                <w:szCs w:val="21"/>
              </w:rPr>
            </w:pPr>
          </w:p>
        </w:tc>
      </w:tr>
    </w:tbl>
    <w:p w:rsidR="006E0D0F" w:rsidRPr="00CB5D01" w:rsidRDefault="006E0D0F">
      <w:pPr>
        <w:rPr>
          <w:sz w:val="21"/>
          <w:szCs w:val="21"/>
        </w:rPr>
      </w:pPr>
    </w:p>
    <w:sectPr w:rsidR="006E0D0F" w:rsidRPr="00CB5D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9A2"/>
    <w:rsid w:val="00314A19"/>
    <w:rsid w:val="00422E90"/>
    <w:rsid w:val="006E0D0F"/>
    <w:rsid w:val="00884C8D"/>
    <w:rsid w:val="008E19A2"/>
    <w:rsid w:val="00941B57"/>
    <w:rsid w:val="00B84D43"/>
    <w:rsid w:val="00BA6297"/>
    <w:rsid w:val="00CB5D01"/>
    <w:rsid w:val="00E026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78769-DE1B-4AE6-995E-A9E9B3617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8E1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95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1411</Words>
  <Characters>8046</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Bozovičar</dc:creator>
  <cp:keywords/>
  <dc:description/>
  <cp:lastModifiedBy>Mojca Bozovičar</cp:lastModifiedBy>
  <cp:revision>2</cp:revision>
  <dcterms:created xsi:type="dcterms:W3CDTF">2023-03-20T11:42:00Z</dcterms:created>
  <dcterms:modified xsi:type="dcterms:W3CDTF">2023-03-20T11:42:00Z</dcterms:modified>
</cp:coreProperties>
</file>