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E6" w:rsidRDefault="00EA32E6">
      <w:pPr>
        <w:pStyle w:val="Noga"/>
        <w:tabs>
          <w:tab w:val="clear" w:pos="9072"/>
          <w:tab w:val="right" w:pos="7038"/>
        </w:tabs>
        <w:spacing w:before="120" w:line="276" w:lineRule="auto"/>
        <w:ind w:right="72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Datum: 20</w:t>
      </w:r>
      <w:r w:rsidR="005C0ECA">
        <w:rPr>
          <w:rStyle w:val="None"/>
          <w:rFonts w:ascii="Arial" w:hAnsi="Arial"/>
          <w:sz w:val="22"/>
          <w:szCs w:val="22"/>
        </w:rPr>
        <w:t>. 4. 2020</w:t>
      </w:r>
    </w:p>
    <w:p w:rsidR="009E74E6" w:rsidRDefault="009E74E6">
      <w:pPr>
        <w:pStyle w:val="Noga"/>
        <w:tabs>
          <w:tab w:val="clear" w:pos="9072"/>
          <w:tab w:val="right" w:pos="7038"/>
        </w:tabs>
        <w:spacing w:before="120" w:line="276" w:lineRule="auto"/>
        <w:ind w:right="72"/>
        <w:rPr>
          <w:rStyle w:val="None"/>
          <w:rFonts w:ascii="Arial" w:eastAsia="Arial" w:hAnsi="Arial" w:cs="Arial"/>
          <w:sz w:val="22"/>
          <w:szCs w:val="22"/>
        </w:rPr>
      </w:pPr>
    </w:p>
    <w:p w:rsidR="009E74E6" w:rsidRDefault="005C0ECA">
      <w:pPr>
        <w:pStyle w:val="Noga"/>
        <w:tabs>
          <w:tab w:val="clear" w:pos="9072"/>
          <w:tab w:val="right" w:pos="7038"/>
        </w:tabs>
        <w:spacing w:before="120" w:line="276" w:lineRule="auto"/>
        <w:ind w:right="72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S P O R O Č I L O   Z A   J A V N O S T</w:t>
      </w:r>
    </w:p>
    <w:p w:rsidR="009E74E6" w:rsidRDefault="009E74E6">
      <w:pPr>
        <w:pStyle w:val="Noga"/>
        <w:tabs>
          <w:tab w:val="clear" w:pos="9072"/>
          <w:tab w:val="right" w:pos="7038"/>
        </w:tabs>
        <w:spacing w:before="120" w:line="276" w:lineRule="auto"/>
        <w:ind w:right="72"/>
        <w:rPr>
          <w:rStyle w:val="None"/>
          <w:rFonts w:ascii="Arial" w:eastAsia="Arial" w:hAnsi="Arial" w:cs="Arial"/>
          <w:sz w:val="22"/>
          <w:szCs w:val="22"/>
        </w:rPr>
      </w:pPr>
    </w:p>
    <w:p w:rsidR="009E74E6" w:rsidRDefault="00EA32E6">
      <w:pPr>
        <w:spacing w:before="120" w:line="276" w:lineRule="auto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DRŽAVA Z NOVIMI UKREPI DO </w:t>
      </w:r>
      <w:r w:rsidR="00A06745">
        <w:rPr>
          <w:rStyle w:val="None"/>
          <w:rFonts w:ascii="Arial" w:hAnsi="Arial"/>
          <w:b/>
          <w:bCs/>
          <w:sz w:val="22"/>
          <w:szCs w:val="22"/>
        </w:rPr>
        <w:t>POMOČI KMETOM IN ŽIVILSKI INDUSTRIJI</w:t>
      </w:r>
    </w:p>
    <w:p w:rsidR="003B1BDE" w:rsidRDefault="003B1BDE" w:rsidP="00A06745">
      <w:pPr>
        <w:spacing w:before="120" w:line="276" w:lineRule="auto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7C0120" w:rsidRDefault="00A06745" w:rsidP="00A06745">
      <w:pPr>
        <w:spacing w:before="120" w:line="276" w:lineRule="auto"/>
        <w:rPr>
          <w:rStyle w:val="None"/>
          <w:rFonts w:ascii="Arial" w:hAnsi="Arial"/>
          <w:sz w:val="22"/>
          <w:szCs w:val="22"/>
        </w:rPr>
      </w:pPr>
      <w:bookmarkStart w:id="0" w:name="_GoBack"/>
      <w:bookmarkEnd w:id="0"/>
      <w:r>
        <w:rPr>
          <w:rStyle w:val="None"/>
          <w:rFonts w:ascii="Arial" w:hAnsi="Arial"/>
          <w:b/>
          <w:bCs/>
          <w:sz w:val="22"/>
          <w:szCs w:val="22"/>
        </w:rPr>
        <w:t>Ljubljana, 20</w:t>
      </w:r>
      <w:r w:rsidR="005C0ECA">
        <w:rPr>
          <w:rStyle w:val="None"/>
          <w:rFonts w:ascii="Arial" w:hAnsi="Arial"/>
          <w:b/>
          <w:bCs/>
          <w:sz w:val="22"/>
          <w:szCs w:val="22"/>
        </w:rPr>
        <w:t xml:space="preserve">. 4. 2020 – </w:t>
      </w:r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>Kmetijsko-živilski sektor je eden</w:t>
      </w:r>
      <w:r w:rsidR="007C0120">
        <w:rPr>
          <w:rStyle w:val="None"/>
          <w:rFonts w:ascii="Arial" w:hAnsi="Arial"/>
          <w:b/>
          <w:bCs/>
          <w:sz w:val="22"/>
          <w:szCs w:val="22"/>
        </w:rPr>
        <w:t xml:space="preserve"> redkih sektorjev, ki deluje </w:t>
      </w:r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 xml:space="preserve">od začetka epidemije </w:t>
      </w:r>
      <w:proofErr w:type="spellStart"/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>koronavirusa</w:t>
      </w:r>
      <w:proofErr w:type="spellEnd"/>
      <w:r w:rsidR="007C0120">
        <w:rPr>
          <w:rStyle w:val="None"/>
          <w:rFonts w:ascii="Arial" w:hAnsi="Arial"/>
          <w:b/>
          <w:bCs/>
          <w:sz w:val="22"/>
          <w:szCs w:val="22"/>
        </w:rPr>
        <w:t xml:space="preserve"> COVID-19</w:t>
      </w:r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 xml:space="preserve">. Kljub temu smo na Ministrstvu za kmetijstvo, gozdarstvo in prehrano zaradi predvidenih motenj v delovanju sektorja kot posledice epidemije v prvi t.i. </w:t>
      </w:r>
      <w:proofErr w:type="spellStart"/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>protikorona</w:t>
      </w:r>
      <w:proofErr w:type="spellEnd"/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 xml:space="preserve"> paket </w:t>
      </w:r>
      <w:r w:rsidR="007C0120">
        <w:rPr>
          <w:rStyle w:val="None"/>
          <w:rFonts w:ascii="Arial" w:hAnsi="Arial"/>
          <w:b/>
          <w:bCs/>
          <w:sz w:val="22"/>
          <w:szCs w:val="22"/>
        </w:rPr>
        <w:t xml:space="preserve">PKP1 </w:t>
      </w:r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 xml:space="preserve">uvrstili številne ukrepe pomoči kmetijsko-živilskemu sektorju. Za drugi </w:t>
      </w:r>
      <w:proofErr w:type="spellStart"/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>protikorona</w:t>
      </w:r>
      <w:proofErr w:type="spellEnd"/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 xml:space="preserve"> paket PKP2 smo skupaj s deležniki pripravili številne ukrepe, ki pa se zaradi odločitve strokovne skupine in Vlade RS, da bo drugi paket namenjen izključno zagotavljanju likvidnosti gospodarstva, selijo v tretji </w:t>
      </w:r>
      <w:proofErr w:type="spellStart"/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>protikorona</w:t>
      </w:r>
      <w:proofErr w:type="spellEnd"/>
      <w:r w:rsidR="007C0120" w:rsidRPr="007C0120">
        <w:rPr>
          <w:rStyle w:val="None"/>
          <w:rFonts w:ascii="Arial" w:hAnsi="Arial"/>
          <w:b/>
          <w:bCs/>
          <w:sz w:val="22"/>
          <w:szCs w:val="22"/>
        </w:rPr>
        <w:t xml:space="preserve"> paket PKP3. Kljub temu na Ministrstvu za kmetijstvo, gozdarstvo in prehrano z dodatnimi ukrepi spodbujamo razvoj sektorja. V ta namen smo začeli tudi s spremembami Programa razvoja podeželja, kjer bo več sredstev namenjenih novim investicijam, rastlinski proizvodnji in večanju samooskrbe</w:t>
      </w:r>
      <w:r w:rsidR="007C0120">
        <w:rPr>
          <w:rStyle w:val="None"/>
          <w:rFonts w:ascii="Arial" w:hAnsi="Arial"/>
          <w:b/>
          <w:bCs/>
          <w:sz w:val="22"/>
          <w:szCs w:val="22"/>
        </w:rPr>
        <w:t>.</w:t>
      </w:r>
    </w:p>
    <w:p w:rsidR="007C0120" w:rsidRPr="007C0120" w:rsidRDefault="007C0120" w:rsidP="007C0120">
      <w:pPr>
        <w:spacing w:before="120" w:line="276" w:lineRule="auto"/>
        <w:rPr>
          <w:rStyle w:val="None"/>
          <w:rFonts w:ascii="Arial" w:hAnsi="Arial"/>
          <w:sz w:val="22"/>
          <w:szCs w:val="22"/>
        </w:rPr>
      </w:pPr>
      <w:r w:rsidRPr="007C0120">
        <w:rPr>
          <w:rStyle w:val="None"/>
          <w:rFonts w:ascii="Arial" w:hAnsi="Arial"/>
          <w:sz w:val="22"/>
          <w:szCs w:val="22"/>
        </w:rPr>
        <w:t xml:space="preserve">Motnje, ki so se zaradi pojava epidemije </w:t>
      </w:r>
      <w:proofErr w:type="spellStart"/>
      <w:r>
        <w:rPr>
          <w:rStyle w:val="None"/>
          <w:rFonts w:ascii="Arial" w:hAnsi="Arial"/>
          <w:sz w:val="22"/>
          <w:szCs w:val="22"/>
        </w:rPr>
        <w:t>koronavirusa</w:t>
      </w:r>
      <w:proofErr w:type="spellEnd"/>
      <w:r>
        <w:rPr>
          <w:rStyle w:val="None"/>
          <w:rFonts w:ascii="Arial" w:hAnsi="Arial"/>
          <w:sz w:val="22"/>
          <w:szCs w:val="22"/>
        </w:rPr>
        <w:t>, začele pojavljati</w:t>
      </w:r>
      <w:r w:rsidRPr="007C0120">
        <w:rPr>
          <w:rStyle w:val="None"/>
          <w:rFonts w:ascii="Arial" w:hAnsi="Arial"/>
          <w:sz w:val="22"/>
          <w:szCs w:val="22"/>
        </w:rPr>
        <w:t xml:space="preserve"> v sektorjih kmetijstva, živilske industrije, ribištva in gozdarstva, smo na ministrstvu reševali ali preprečevali z ukrepi v t.i. </w:t>
      </w:r>
      <w:proofErr w:type="spellStart"/>
      <w:r w:rsidRPr="007C0120">
        <w:rPr>
          <w:rStyle w:val="None"/>
          <w:rFonts w:ascii="Arial" w:hAnsi="Arial"/>
          <w:sz w:val="22"/>
          <w:szCs w:val="22"/>
        </w:rPr>
        <w:t>protikorna</w:t>
      </w:r>
      <w:proofErr w:type="spellEnd"/>
      <w:r w:rsidRPr="007C0120">
        <w:rPr>
          <w:rStyle w:val="None"/>
          <w:rFonts w:ascii="Arial" w:hAnsi="Arial"/>
          <w:sz w:val="22"/>
          <w:szCs w:val="22"/>
        </w:rPr>
        <w:t xml:space="preserve"> paketu PKP1. Sočasno smo močno okrepili promocijo domače hrane in si prizadevali za okrepitev odnosov znotraj prehranske verige. V sodelovanju z različnimi organizacijami, ki delujejo na področju kmetijsko-živilskega sektorja, smo pripravili nabor ukrepov za t.i. </w:t>
      </w:r>
      <w:proofErr w:type="spellStart"/>
      <w:r w:rsidRPr="007C0120">
        <w:rPr>
          <w:rStyle w:val="None"/>
          <w:rFonts w:ascii="Arial" w:hAnsi="Arial"/>
          <w:sz w:val="22"/>
          <w:szCs w:val="22"/>
        </w:rPr>
        <w:t>protikorana</w:t>
      </w:r>
      <w:proofErr w:type="spellEnd"/>
      <w:r w:rsidRPr="007C0120">
        <w:rPr>
          <w:rStyle w:val="None"/>
          <w:rFonts w:ascii="Arial" w:hAnsi="Arial"/>
          <w:sz w:val="22"/>
          <w:szCs w:val="22"/>
        </w:rPr>
        <w:t xml:space="preserve"> paket PKP2, ki pa so zaradi odločitve strokovne skupine in Vlade RS, da bo PKP2 namenjen izključno zagotavljanju likvidnosti gospodarstva, preneseni v PKP3. Ukrepi, ki jih prenašamo v PKP3, bodo namenjeni zagonu novih investicij in</w:t>
      </w:r>
      <w:r>
        <w:rPr>
          <w:rStyle w:val="None"/>
          <w:rFonts w:ascii="Arial" w:hAnsi="Arial"/>
          <w:sz w:val="22"/>
          <w:szCs w:val="22"/>
        </w:rPr>
        <w:t xml:space="preserve"> odpravi administrativnih ovir.</w:t>
      </w:r>
    </w:p>
    <w:p w:rsidR="007C0120" w:rsidRDefault="007C0120" w:rsidP="007C0120">
      <w:pPr>
        <w:spacing w:before="120" w:line="276" w:lineRule="auto"/>
        <w:rPr>
          <w:rStyle w:val="None"/>
          <w:rFonts w:ascii="Arial" w:hAnsi="Arial"/>
          <w:sz w:val="22"/>
          <w:szCs w:val="22"/>
        </w:rPr>
      </w:pPr>
      <w:r w:rsidRPr="007C0120">
        <w:rPr>
          <w:rStyle w:val="None"/>
          <w:rFonts w:ascii="Arial" w:hAnsi="Arial"/>
          <w:sz w:val="22"/>
          <w:szCs w:val="22"/>
        </w:rPr>
        <w:t>Med popravke PKP1 je ministrstvo uvrstilo enkratni solidarnostni dodatek za kmetice v višini 150 eurov in večanje višine zneska do katerega lahko brezposelne osebe opravljajo sezonska dela v kmetijstvu, brez da bi se jim znižala nadomestilo za brezposelnost. Ta znesek se iz 200 EUR na mesečni ravni viša na 400 EUR.</w:t>
      </w:r>
    </w:p>
    <w:p w:rsidR="007C0120" w:rsidRDefault="00DB7643">
      <w:pPr>
        <w:spacing w:before="120" w:line="276" w:lineRule="auto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S podr</w:t>
      </w:r>
      <w:r w:rsidR="007E0962">
        <w:rPr>
          <w:rStyle w:val="None"/>
          <w:rFonts w:ascii="Arial" w:hAnsi="Arial"/>
          <w:sz w:val="22"/>
          <w:szCs w:val="22"/>
        </w:rPr>
        <w:t>očja S</w:t>
      </w:r>
      <w:r>
        <w:rPr>
          <w:rStyle w:val="None"/>
          <w:rFonts w:ascii="Arial" w:hAnsi="Arial"/>
          <w:sz w:val="22"/>
          <w:szCs w:val="22"/>
        </w:rPr>
        <w:t>kupne kmetijske politike se pripravlja vrsto drugih ukrepov,</w:t>
      </w:r>
      <w:r w:rsidR="007E0962" w:rsidRPr="007E0962">
        <w:rPr>
          <w:rStyle w:val="None"/>
          <w:rFonts w:ascii="Arial" w:hAnsi="Arial"/>
          <w:sz w:val="22"/>
          <w:szCs w:val="22"/>
        </w:rPr>
        <w:t xml:space="preserve"> </w:t>
      </w:r>
      <w:r w:rsidR="007E0962">
        <w:rPr>
          <w:rStyle w:val="None"/>
          <w:rFonts w:ascii="Arial" w:hAnsi="Arial"/>
          <w:sz w:val="22"/>
          <w:szCs w:val="22"/>
        </w:rPr>
        <w:t>d</w:t>
      </w:r>
      <w:r w:rsidR="007E0962" w:rsidRPr="007E0962">
        <w:rPr>
          <w:rStyle w:val="None"/>
          <w:rFonts w:ascii="Arial" w:hAnsi="Arial"/>
          <w:sz w:val="22"/>
          <w:szCs w:val="22"/>
        </w:rPr>
        <w:t>a bi lahko slovenskemu kmetijstvu, živilstvu in gozdarstvu omogočili lažjo izvedbo investicij in omogočili nadaljevanje razvojnega ciklusa</w:t>
      </w:r>
      <w:r w:rsidR="007E0962">
        <w:rPr>
          <w:rStyle w:val="None"/>
          <w:rFonts w:ascii="Arial" w:hAnsi="Arial"/>
          <w:sz w:val="22"/>
          <w:szCs w:val="22"/>
        </w:rPr>
        <w:t>.</w:t>
      </w:r>
      <w:r w:rsidR="007E0962" w:rsidRPr="007E0962">
        <w:rPr>
          <w:rStyle w:val="None"/>
          <w:rFonts w:ascii="Arial" w:hAnsi="Arial"/>
          <w:sz w:val="22"/>
          <w:szCs w:val="22"/>
        </w:rPr>
        <w:t xml:space="preserve"> Ministrstvo pospešen</w:t>
      </w:r>
      <w:r w:rsidR="007E0962">
        <w:rPr>
          <w:rStyle w:val="None"/>
          <w:rFonts w:ascii="Arial" w:hAnsi="Arial"/>
          <w:sz w:val="22"/>
          <w:szCs w:val="22"/>
        </w:rPr>
        <w:t>o</w:t>
      </w:r>
      <w:r w:rsidR="007E0962" w:rsidRPr="007E0962">
        <w:rPr>
          <w:rStyle w:val="None"/>
          <w:rFonts w:ascii="Arial" w:hAnsi="Arial"/>
          <w:sz w:val="22"/>
          <w:szCs w:val="22"/>
        </w:rPr>
        <w:t xml:space="preserve"> priprav</w:t>
      </w:r>
      <w:r w:rsidR="007E0962">
        <w:rPr>
          <w:rStyle w:val="None"/>
          <w:rFonts w:ascii="Arial" w:hAnsi="Arial"/>
          <w:sz w:val="22"/>
          <w:szCs w:val="22"/>
        </w:rPr>
        <w:t>lja</w:t>
      </w:r>
      <w:r w:rsidR="007E0962" w:rsidRPr="007E0962">
        <w:rPr>
          <w:rStyle w:val="None"/>
          <w:rFonts w:ascii="Arial" w:hAnsi="Arial"/>
          <w:sz w:val="22"/>
          <w:szCs w:val="22"/>
        </w:rPr>
        <w:t xml:space="preserve"> sprememb</w:t>
      </w:r>
      <w:r w:rsidR="007E0962">
        <w:rPr>
          <w:rStyle w:val="None"/>
          <w:rFonts w:ascii="Arial" w:hAnsi="Arial"/>
          <w:sz w:val="22"/>
          <w:szCs w:val="22"/>
        </w:rPr>
        <w:t>e PRP 2014–2020, na podlagi katerih</w:t>
      </w:r>
      <w:r w:rsidR="007E0962" w:rsidRPr="007E0962">
        <w:rPr>
          <w:rStyle w:val="None"/>
          <w:rFonts w:ascii="Arial" w:hAnsi="Arial"/>
          <w:sz w:val="22"/>
          <w:szCs w:val="22"/>
        </w:rPr>
        <w:t xml:space="preserve"> bodo posledično spremenjene tudi izvedbene uredbe in po sprejetju le-teh na Vladi RS bomo lahko objavili načrtovane javne razpise. </w:t>
      </w:r>
    </w:p>
    <w:p w:rsidR="007C0120" w:rsidRDefault="007C0120">
      <w:pPr>
        <w:spacing w:before="120" w:line="276" w:lineRule="auto"/>
        <w:rPr>
          <w:rStyle w:val="None"/>
          <w:rFonts w:ascii="Arial" w:hAnsi="Arial"/>
          <w:sz w:val="22"/>
          <w:szCs w:val="22"/>
        </w:rPr>
      </w:pPr>
    </w:p>
    <w:p w:rsidR="0053167C" w:rsidRDefault="007E0962">
      <w:pPr>
        <w:spacing w:before="120" w:line="276" w:lineRule="auto"/>
        <w:rPr>
          <w:rStyle w:val="None"/>
          <w:rFonts w:ascii="Arial" w:hAnsi="Arial"/>
          <w:sz w:val="22"/>
          <w:szCs w:val="22"/>
        </w:rPr>
      </w:pPr>
      <w:r w:rsidRPr="007E0962">
        <w:rPr>
          <w:rStyle w:val="None"/>
          <w:rFonts w:ascii="Arial" w:hAnsi="Arial"/>
          <w:sz w:val="22"/>
          <w:szCs w:val="22"/>
        </w:rPr>
        <w:t>MKGP</w:t>
      </w:r>
      <w:r>
        <w:rPr>
          <w:rStyle w:val="None"/>
          <w:rFonts w:ascii="Arial" w:hAnsi="Arial"/>
          <w:sz w:val="22"/>
          <w:szCs w:val="22"/>
        </w:rPr>
        <w:t xml:space="preserve"> med drugim</w:t>
      </w:r>
      <w:r w:rsidRPr="007E0962">
        <w:rPr>
          <w:rStyle w:val="None"/>
          <w:rFonts w:ascii="Arial" w:hAnsi="Arial"/>
          <w:sz w:val="22"/>
          <w:szCs w:val="22"/>
        </w:rPr>
        <w:t xml:space="preserve"> </w:t>
      </w:r>
      <w:r>
        <w:rPr>
          <w:rStyle w:val="None"/>
          <w:rFonts w:ascii="Arial" w:hAnsi="Arial"/>
          <w:sz w:val="22"/>
          <w:szCs w:val="22"/>
        </w:rPr>
        <w:t xml:space="preserve">predvideva </w:t>
      </w:r>
      <w:r w:rsidRPr="007E0962">
        <w:rPr>
          <w:rStyle w:val="None"/>
          <w:rFonts w:ascii="Arial" w:hAnsi="Arial"/>
          <w:sz w:val="22"/>
          <w:szCs w:val="22"/>
        </w:rPr>
        <w:t xml:space="preserve">povečanje predplačil na najvišjih možnih 50%, </w:t>
      </w:r>
      <w:r>
        <w:rPr>
          <w:rStyle w:val="None"/>
          <w:rFonts w:ascii="Arial" w:hAnsi="Arial"/>
          <w:sz w:val="22"/>
          <w:szCs w:val="22"/>
        </w:rPr>
        <w:t>predlaga</w:t>
      </w:r>
      <w:r w:rsidRPr="007E0962">
        <w:rPr>
          <w:rStyle w:val="None"/>
          <w:rFonts w:ascii="Arial" w:hAnsi="Arial"/>
          <w:sz w:val="22"/>
          <w:szCs w:val="22"/>
        </w:rPr>
        <w:t xml:space="preserve"> </w:t>
      </w:r>
      <w:r>
        <w:rPr>
          <w:rStyle w:val="None"/>
          <w:rFonts w:ascii="Arial" w:hAnsi="Arial"/>
          <w:sz w:val="22"/>
          <w:szCs w:val="22"/>
        </w:rPr>
        <w:t xml:space="preserve">tudi </w:t>
      </w:r>
      <w:r w:rsidRPr="007E0962">
        <w:rPr>
          <w:rStyle w:val="None"/>
          <w:rFonts w:ascii="Arial" w:hAnsi="Arial"/>
          <w:sz w:val="22"/>
          <w:szCs w:val="22"/>
        </w:rPr>
        <w:t xml:space="preserve">spremembe na posameznih </w:t>
      </w:r>
      <w:proofErr w:type="spellStart"/>
      <w:r w:rsidRPr="007E0962">
        <w:rPr>
          <w:rStyle w:val="None"/>
          <w:rFonts w:ascii="Arial" w:hAnsi="Arial"/>
          <w:sz w:val="22"/>
          <w:szCs w:val="22"/>
        </w:rPr>
        <w:t>podukrepih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, kot so </w:t>
      </w:r>
      <w:r w:rsidRPr="007E0962">
        <w:rPr>
          <w:rStyle w:val="None"/>
          <w:rFonts w:ascii="Arial" w:hAnsi="Arial"/>
          <w:sz w:val="22"/>
          <w:szCs w:val="22"/>
        </w:rPr>
        <w:t>naložbe na kmetijskih gospodarstvih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 w:rsidRPr="007E0962">
        <w:rPr>
          <w:rStyle w:val="None"/>
          <w:rFonts w:ascii="Arial" w:hAnsi="Arial"/>
          <w:sz w:val="22"/>
          <w:szCs w:val="22"/>
        </w:rPr>
        <w:t>predelava in trženje kmetijskih proizvodov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 w:rsidRPr="007E0962">
        <w:rPr>
          <w:rStyle w:val="None"/>
          <w:rFonts w:ascii="Arial" w:hAnsi="Arial"/>
          <w:sz w:val="22"/>
          <w:szCs w:val="22"/>
        </w:rPr>
        <w:t>predelava in trženje kmetijskih proizvodov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 w:rsidRPr="007E0962">
        <w:rPr>
          <w:rStyle w:val="None"/>
          <w:rFonts w:ascii="Arial" w:hAnsi="Arial"/>
          <w:sz w:val="22"/>
          <w:szCs w:val="22"/>
        </w:rPr>
        <w:t>svetovanje s socialnimi vsebinami</w:t>
      </w:r>
      <w:r>
        <w:rPr>
          <w:rStyle w:val="None"/>
          <w:rFonts w:ascii="Arial" w:hAnsi="Arial"/>
          <w:sz w:val="22"/>
          <w:szCs w:val="22"/>
        </w:rPr>
        <w:t xml:space="preserve"> ter </w:t>
      </w:r>
      <w:r w:rsidRPr="007E0962">
        <w:rPr>
          <w:rStyle w:val="None"/>
          <w:rFonts w:ascii="Arial" w:hAnsi="Arial"/>
          <w:sz w:val="22"/>
          <w:szCs w:val="22"/>
        </w:rPr>
        <w:t>Podpora za odpravo škode v gozdovih zaradi gozdnih požarov ter naravnih nesreč in katastrofičnih dogodkov (obnova gozdov),  Ureditev gozdnih vlak, potrebnih za izvedbo sanacije gozdov iz PRP in naložbe v predelavo lesa</w:t>
      </w:r>
      <w:r>
        <w:rPr>
          <w:rStyle w:val="None"/>
          <w:rFonts w:ascii="Arial" w:hAnsi="Arial"/>
          <w:sz w:val="22"/>
          <w:szCs w:val="22"/>
        </w:rPr>
        <w:t xml:space="preserve">. </w:t>
      </w:r>
      <w:r w:rsidRPr="007E0962">
        <w:rPr>
          <w:rStyle w:val="None"/>
          <w:rFonts w:ascii="Arial" w:hAnsi="Arial"/>
          <w:sz w:val="22"/>
          <w:szCs w:val="22"/>
        </w:rPr>
        <w:t>Na podlagi spremembe PRP bodo posledično spremenjene tudi izvedbene uredbe in po sprejetju le-teh na Vladi RS bomo lahko objavili načrtovane javne razpise.</w:t>
      </w:r>
    </w:p>
    <w:p w:rsidR="009E74E6" w:rsidRDefault="00AA709B">
      <w:pPr>
        <w:spacing w:before="120" w:line="276" w:lineRule="auto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Ponovno želimo poudariti, da </w:t>
      </w:r>
      <w:r w:rsidR="005C0ECA">
        <w:rPr>
          <w:rStyle w:val="None"/>
          <w:rFonts w:ascii="Arial" w:hAnsi="Arial"/>
          <w:sz w:val="22"/>
          <w:szCs w:val="22"/>
        </w:rPr>
        <w:t xml:space="preserve">zgolj zakonski ukrepi ne bodo popravili vseh motenj in izzivov, ki so se razkrili v času epidemije. Zmanjšano povpraševanje na trgu (posledica zaprtja javnih ustanov, sektorja gostinstva, turizma) je namreč pokazala, da je za stabilnost kmetijskega sektorja izjemnega pomena vključitev kmetov v verige. </w:t>
      </w:r>
      <w:r>
        <w:rPr>
          <w:rStyle w:val="None"/>
          <w:rFonts w:ascii="Arial" w:hAnsi="Arial"/>
          <w:sz w:val="22"/>
          <w:szCs w:val="22"/>
        </w:rPr>
        <w:t xml:space="preserve">Zato se je v teh najtežjih časih izkazala večkrat poudarjena potreba po trdni agroživilski verigi. </w:t>
      </w:r>
      <w:r w:rsidR="005C0ECA">
        <w:rPr>
          <w:rStyle w:val="None"/>
          <w:rFonts w:ascii="Arial" w:hAnsi="Arial"/>
          <w:sz w:val="22"/>
          <w:szCs w:val="22"/>
        </w:rPr>
        <w:t>Tisti kmetje</w:t>
      </w:r>
      <w:r>
        <w:rPr>
          <w:rStyle w:val="None"/>
          <w:rFonts w:ascii="Arial" w:hAnsi="Arial"/>
          <w:sz w:val="22"/>
          <w:szCs w:val="22"/>
        </w:rPr>
        <w:t xml:space="preserve"> ali kmetijska podjetja</w:t>
      </w:r>
      <w:r w:rsidR="005C0ECA">
        <w:rPr>
          <w:rStyle w:val="None"/>
          <w:rFonts w:ascii="Arial" w:hAnsi="Arial"/>
          <w:sz w:val="22"/>
          <w:szCs w:val="22"/>
        </w:rPr>
        <w:t>, ki imajo sklenjene pogodbe s živilsko-predelovalno industrije ne poročajo o težav pri prodaji, težave se pojavljajo pri tistih, ki so svojo prodajo prepuščali trenutnim razmeram na trgu in prodajali na trg glede na ceno, ki je na trgu veljala.</w:t>
      </w:r>
    </w:p>
    <w:p w:rsidR="00A44DCF" w:rsidRPr="00A44DCF" w:rsidRDefault="00A44DCF">
      <w:pPr>
        <w:spacing w:before="120" w:line="276" w:lineRule="auto"/>
        <w:rPr>
          <w:rStyle w:val="None"/>
          <w:rFonts w:ascii="Arial" w:hAnsi="Arial"/>
          <w:sz w:val="22"/>
          <w:szCs w:val="22"/>
        </w:rPr>
      </w:pPr>
    </w:p>
    <w:p w:rsidR="009E74E6" w:rsidRDefault="005C0ECA">
      <w:pPr>
        <w:spacing w:before="120" w:line="276" w:lineRule="auto"/>
        <w:jc w:val="center"/>
      </w:pPr>
      <w:r>
        <w:rPr>
          <w:rStyle w:val="None"/>
          <w:rFonts w:ascii="Arial" w:hAnsi="Arial"/>
          <w:sz w:val="22"/>
          <w:szCs w:val="22"/>
        </w:rPr>
        <w:t>*</w:t>
      </w:r>
      <w:r>
        <w:rPr>
          <w:rStyle w:val="None"/>
          <w:rFonts w:ascii="Arial" w:hAnsi="Arial"/>
          <w:sz w:val="22"/>
          <w:szCs w:val="22"/>
        </w:rPr>
        <w:tab/>
        <w:t xml:space="preserve">* </w:t>
      </w:r>
      <w:r>
        <w:rPr>
          <w:rStyle w:val="None"/>
          <w:rFonts w:ascii="Arial" w:hAnsi="Arial"/>
          <w:sz w:val="22"/>
          <w:szCs w:val="22"/>
        </w:rPr>
        <w:tab/>
        <w:t>*</w:t>
      </w:r>
    </w:p>
    <w:sectPr w:rsidR="009E74E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5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7C" w:rsidRDefault="00101A7C">
      <w:r>
        <w:separator/>
      </w:r>
    </w:p>
  </w:endnote>
  <w:endnote w:type="continuationSeparator" w:id="0">
    <w:p w:rsidR="00101A7C" w:rsidRDefault="0010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E6" w:rsidRDefault="009E74E6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E6" w:rsidRDefault="009E74E6">
    <w:pPr>
      <w:widowControl/>
      <w:tabs>
        <w:tab w:val="center" w:pos="4320"/>
        <w:tab w:val="right" w:pos="8478"/>
      </w:tabs>
      <w:spacing w:line="260" w:lineRule="atLea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7C" w:rsidRDefault="00101A7C">
      <w:r>
        <w:separator/>
      </w:r>
    </w:p>
  </w:footnote>
  <w:footnote w:type="continuationSeparator" w:id="0">
    <w:p w:rsidR="00101A7C" w:rsidRDefault="0010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E6" w:rsidRDefault="009E74E6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E6" w:rsidRDefault="005C0ECA">
    <w:pPr>
      <w:widowControl/>
      <w:tabs>
        <w:tab w:val="left" w:pos="5112"/>
      </w:tabs>
      <w:spacing w:after="120" w:line="240" w:lineRule="exact"/>
      <w:jc w:val="left"/>
      <w:rPr>
        <w:caps/>
      </w:rPr>
    </w:pPr>
    <w:r>
      <w:rPr>
        <w:rFonts w:ascii="Arial" w:eastAsia="Arial" w:hAnsi="Arial" w:cs="Arial"/>
        <w:noProof/>
        <w:sz w:val="16"/>
        <w:szCs w:val="1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542925</wp:posOffset>
          </wp:positionH>
          <wp:positionV relativeFrom="page">
            <wp:posOffset>574040</wp:posOffset>
          </wp:positionV>
          <wp:extent cx="2346961" cy="6400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MKGP_SL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1" cy="640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sz w:val="16"/>
        <w:szCs w:val="16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8390890</wp:posOffset>
          </wp:positionV>
          <wp:extent cx="5776596" cy="242697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oga_0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6596" cy="2426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E74E6" w:rsidRDefault="009E74E6">
    <w:pPr>
      <w:widowControl/>
      <w:tabs>
        <w:tab w:val="left" w:pos="5112"/>
      </w:tabs>
      <w:spacing w:after="120" w:line="240" w:lineRule="exact"/>
      <w:jc w:val="left"/>
      <w:rPr>
        <w:caps/>
      </w:rPr>
    </w:pPr>
  </w:p>
  <w:p w:rsidR="009E74E6" w:rsidRDefault="009E74E6">
    <w:pPr>
      <w:widowControl/>
      <w:tabs>
        <w:tab w:val="left" w:pos="5112"/>
      </w:tabs>
      <w:spacing w:after="120" w:line="240" w:lineRule="exact"/>
      <w:jc w:val="left"/>
      <w:rPr>
        <w:caps/>
      </w:rPr>
    </w:pPr>
  </w:p>
  <w:p w:rsidR="009E74E6" w:rsidRDefault="005C0ECA">
    <w:pPr>
      <w:widowControl/>
      <w:tabs>
        <w:tab w:val="left" w:pos="5112"/>
      </w:tabs>
      <w:spacing w:after="120" w:line="240" w:lineRule="exact"/>
      <w:jc w:val="left"/>
      <w:rPr>
        <w:caps/>
      </w:rPr>
    </w:pPr>
    <w:r>
      <w:rPr>
        <w:caps/>
      </w:rPr>
      <w:t>Služba za odnose z javnostmi in promocijo</w:t>
    </w:r>
  </w:p>
  <w:p w:rsidR="009E74E6" w:rsidRDefault="005C0ECA">
    <w:pPr>
      <w:widowControl/>
      <w:tabs>
        <w:tab w:val="left" w:pos="5112"/>
      </w:tabs>
      <w:spacing w:before="240" w:line="240" w:lineRule="exact"/>
      <w:jc w:val="left"/>
      <w:rPr>
        <w:rFonts w:ascii="Arial" w:eastAsia="Arial" w:hAnsi="Arial" w:cs="Arial"/>
        <w:sz w:val="16"/>
        <w:szCs w:val="16"/>
        <w:lang w:val="sv-SE"/>
      </w:rPr>
    </w:pPr>
    <w:r>
      <w:rPr>
        <w:rFonts w:ascii="Arial" w:hAnsi="Arial"/>
        <w:sz w:val="16"/>
        <w:szCs w:val="16"/>
        <w:lang w:val="sv-SE"/>
      </w:rPr>
      <w:t>Dunajska cesta 22, 1000 Ljubljana</w:t>
    </w:r>
    <w:r>
      <w:rPr>
        <w:rFonts w:ascii="Arial" w:hAnsi="Arial"/>
        <w:sz w:val="16"/>
        <w:szCs w:val="16"/>
        <w:lang w:val="sv-SE"/>
      </w:rPr>
      <w:tab/>
    </w:r>
    <w:r>
      <w:rPr>
        <w:rFonts w:ascii="Arial" w:hAnsi="Arial"/>
        <w:sz w:val="16"/>
        <w:szCs w:val="16"/>
        <w:lang w:val="sv-SE"/>
      </w:rPr>
      <w:tab/>
    </w:r>
    <w:r>
      <w:rPr>
        <w:rFonts w:ascii="Arial" w:hAnsi="Arial"/>
        <w:sz w:val="16"/>
        <w:szCs w:val="16"/>
        <w:lang w:val="sv-SE"/>
      </w:rPr>
      <w:tab/>
      <w:t>T: 01 478 91 63</w:t>
    </w:r>
  </w:p>
  <w:p w:rsidR="009E74E6" w:rsidRDefault="005C0ECA">
    <w:pPr>
      <w:widowControl/>
      <w:tabs>
        <w:tab w:val="left" w:pos="5112"/>
      </w:tabs>
      <w:spacing w:line="240" w:lineRule="exact"/>
      <w:jc w:val="left"/>
      <w:rPr>
        <w:rFonts w:ascii="Arial" w:eastAsia="Arial" w:hAnsi="Arial" w:cs="Arial"/>
        <w:sz w:val="16"/>
        <w:szCs w:val="16"/>
        <w:lang w:val="sv-SE"/>
      </w:rPr>
    </w:pPr>
    <w:r>
      <w:rPr>
        <w:rFonts w:ascii="Arial" w:eastAsia="Arial" w:hAnsi="Arial" w:cs="Arial"/>
        <w:sz w:val="16"/>
        <w:szCs w:val="16"/>
        <w:lang w:val="sv-SE"/>
      </w:rPr>
      <w:tab/>
    </w:r>
    <w:r>
      <w:rPr>
        <w:rFonts w:ascii="Arial" w:eastAsia="Arial" w:hAnsi="Arial" w:cs="Arial"/>
        <w:sz w:val="16"/>
        <w:szCs w:val="16"/>
        <w:lang w:val="sv-SE"/>
      </w:rPr>
      <w:tab/>
    </w:r>
    <w:r>
      <w:rPr>
        <w:rFonts w:ascii="Arial" w:eastAsia="Arial" w:hAnsi="Arial" w:cs="Arial"/>
        <w:sz w:val="16"/>
        <w:szCs w:val="16"/>
        <w:lang w:val="sv-SE"/>
      </w:rPr>
      <w:tab/>
      <w:t>E: pr.mkgp@gov.si</w:t>
    </w:r>
  </w:p>
  <w:p w:rsidR="009E74E6" w:rsidRDefault="005C0ECA">
    <w:pPr>
      <w:widowControl/>
      <w:tabs>
        <w:tab w:val="left" w:pos="5112"/>
      </w:tabs>
      <w:spacing w:line="240" w:lineRule="exact"/>
      <w:jc w:val="left"/>
      <w:rPr>
        <w:rStyle w:val="None"/>
        <w:rFonts w:ascii="Arial" w:eastAsia="Arial" w:hAnsi="Arial" w:cs="Arial"/>
        <w:sz w:val="16"/>
        <w:szCs w:val="16"/>
        <w:lang w:val="it-IT"/>
      </w:rPr>
    </w:pPr>
    <w:r>
      <w:rPr>
        <w:rFonts w:ascii="Arial" w:eastAsia="Arial" w:hAnsi="Arial" w:cs="Arial"/>
        <w:sz w:val="16"/>
        <w:szCs w:val="16"/>
        <w:lang w:val="it-IT"/>
      </w:rPr>
      <w:tab/>
    </w:r>
    <w:r>
      <w:rPr>
        <w:rFonts w:ascii="Arial" w:eastAsia="Arial" w:hAnsi="Arial" w:cs="Arial"/>
        <w:sz w:val="16"/>
        <w:szCs w:val="16"/>
        <w:lang w:val="it-IT"/>
      </w:rPr>
      <w:tab/>
    </w:r>
    <w:r>
      <w:rPr>
        <w:rFonts w:ascii="Arial" w:eastAsia="Arial" w:hAnsi="Arial" w:cs="Arial"/>
        <w:sz w:val="16"/>
        <w:szCs w:val="16"/>
        <w:lang w:val="it-IT"/>
      </w:rPr>
      <w:tab/>
    </w:r>
    <w:hyperlink r:id="rId3" w:history="1">
      <w:r>
        <w:rPr>
          <w:rStyle w:val="Hyperlink0"/>
        </w:rPr>
        <w:t>www.mkgp.gov.si</w:t>
      </w:r>
    </w:hyperlink>
  </w:p>
  <w:p w:rsidR="009E74E6" w:rsidRDefault="009E74E6">
    <w:pPr>
      <w:widowControl/>
      <w:tabs>
        <w:tab w:val="left" w:pos="5112"/>
      </w:tabs>
      <w:spacing w:line="240" w:lineRule="exact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6"/>
    <w:rsid w:val="00101A7C"/>
    <w:rsid w:val="00181039"/>
    <w:rsid w:val="00185EF6"/>
    <w:rsid w:val="00373A22"/>
    <w:rsid w:val="003B1BDE"/>
    <w:rsid w:val="0044064E"/>
    <w:rsid w:val="0053167C"/>
    <w:rsid w:val="005C0ECA"/>
    <w:rsid w:val="006F16AC"/>
    <w:rsid w:val="007A78A2"/>
    <w:rsid w:val="007C0120"/>
    <w:rsid w:val="007C2DAD"/>
    <w:rsid w:val="007E0962"/>
    <w:rsid w:val="007F6465"/>
    <w:rsid w:val="008075CE"/>
    <w:rsid w:val="009306F1"/>
    <w:rsid w:val="009E74E6"/>
    <w:rsid w:val="00A06745"/>
    <w:rsid w:val="00A44DCF"/>
    <w:rsid w:val="00AA709B"/>
    <w:rsid w:val="00AB3960"/>
    <w:rsid w:val="00B9095E"/>
    <w:rsid w:val="00DB7643"/>
    <w:rsid w:val="00EA32E6"/>
    <w:rsid w:val="00E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widowControl w:val="0"/>
      <w:jc w:val="both"/>
    </w:pPr>
    <w:rPr>
      <w:rFonts w:ascii="Republika" w:eastAsia="Republika" w:hAnsi="Republika" w:cs="Republika"/>
      <w:color w:val="000000"/>
      <w:kern w:val="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16"/>
      <w:szCs w:val="16"/>
      <w:u w:val="single" w:color="0000FF"/>
      <w:lang w:val="it-IT"/>
    </w:rPr>
  </w:style>
  <w:style w:type="paragraph" w:styleId="Noga">
    <w:name w:val="footer"/>
    <w:pPr>
      <w:widowControl w:val="0"/>
      <w:tabs>
        <w:tab w:val="center" w:pos="4536"/>
        <w:tab w:val="right" w:pos="9072"/>
      </w:tabs>
      <w:jc w:val="both"/>
    </w:pPr>
    <w:rPr>
      <w:rFonts w:ascii="Republika" w:eastAsia="Republika" w:hAnsi="Republika" w:cs="Republika"/>
      <w:color w:val="000000"/>
      <w:kern w:val="2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1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120"/>
    <w:rPr>
      <w:rFonts w:ascii="Segoe UI" w:eastAsia="Republika" w:hAnsi="Segoe UI" w:cs="Segoe U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widowControl w:val="0"/>
      <w:jc w:val="both"/>
    </w:pPr>
    <w:rPr>
      <w:rFonts w:ascii="Republika" w:eastAsia="Republika" w:hAnsi="Republika" w:cs="Republika"/>
      <w:color w:val="000000"/>
      <w:kern w:val="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16"/>
      <w:szCs w:val="16"/>
      <w:u w:val="single" w:color="0000FF"/>
      <w:lang w:val="it-IT"/>
    </w:rPr>
  </w:style>
  <w:style w:type="paragraph" w:styleId="Noga">
    <w:name w:val="footer"/>
    <w:pPr>
      <w:widowControl w:val="0"/>
      <w:tabs>
        <w:tab w:val="center" w:pos="4536"/>
        <w:tab w:val="right" w:pos="9072"/>
      </w:tabs>
      <w:jc w:val="both"/>
    </w:pPr>
    <w:rPr>
      <w:rFonts w:ascii="Republika" w:eastAsia="Republika" w:hAnsi="Republika" w:cs="Republika"/>
      <w:color w:val="000000"/>
      <w:kern w:val="2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1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120"/>
    <w:rPr>
      <w:rFonts w:ascii="Segoe UI" w:eastAsia="Republika" w:hAnsi="Segoe UI" w:cs="Segoe U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gp.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90FFD8-F91A-4FB1-AD92-C22A6F6B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Kočevar</dc:creator>
  <cp:lastModifiedBy>Prenosnik</cp:lastModifiedBy>
  <cp:revision>2</cp:revision>
  <cp:lastPrinted>2020-04-20T13:33:00Z</cp:lastPrinted>
  <dcterms:created xsi:type="dcterms:W3CDTF">2020-04-20T13:50:00Z</dcterms:created>
  <dcterms:modified xsi:type="dcterms:W3CDTF">2020-04-20T13:50:00Z</dcterms:modified>
</cp:coreProperties>
</file>