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6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1977" w14:paraId="2AEE7D20" w14:textId="77777777" w:rsidTr="00691977">
        <w:tc>
          <w:tcPr>
            <w:tcW w:w="5228" w:type="dxa"/>
          </w:tcPr>
          <w:p w14:paraId="11933124" w14:textId="77777777" w:rsidR="00691977" w:rsidRDefault="00691977" w:rsidP="00691977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A42FB36" wp14:editId="16ABFE24">
                  <wp:extent cx="2622430" cy="1192014"/>
                  <wp:effectExtent l="0" t="0" r="6985" b="825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g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665" cy="120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6D0FFB4" w14:textId="77777777" w:rsidR="00691977" w:rsidRDefault="00691977" w:rsidP="006919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F417568" wp14:editId="6D41F7D0">
                  <wp:extent cx="2638341" cy="1293962"/>
                  <wp:effectExtent l="0" t="0" r="0" b="190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tip ARSKTR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583" cy="134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24370" w14:textId="77777777" w:rsidR="00166D42" w:rsidRDefault="00166D4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C11E932" w14:textId="147C2328" w:rsidR="00166D42" w:rsidRDefault="00166D42" w:rsidP="0084198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2BDDE8" w14:textId="795D7657" w:rsidR="00166D42" w:rsidRDefault="00166D4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BECF6B5" w14:textId="77777777" w:rsidR="00166D42" w:rsidRDefault="00166D4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CC14708" w14:textId="77777777" w:rsidR="00166D42" w:rsidRDefault="00166D4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DCEF079" w14:textId="77777777" w:rsidR="00841987" w:rsidRDefault="008419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6EC2175" w14:textId="77777777" w:rsidR="00841987" w:rsidRDefault="008419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BCC54A0" w14:textId="77777777" w:rsidR="00841987" w:rsidRDefault="0084198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8D77722" w14:textId="77777777" w:rsidR="00166D42" w:rsidRDefault="000C0304" w:rsidP="000C03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Novinarska konferenca</w:t>
      </w:r>
    </w:p>
    <w:p w14:paraId="2D023AAE" w14:textId="77777777" w:rsidR="001373A8" w:rsidRPr="001373A8" w:rsidRDefault="00C41356" w:rsidP="000C03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3A8">
        <w:rPr>
          <w:rFonts w:ascii="Tahoma" w:hAnsi="Tahoma" w:cs="Tahoma"/>
          <w:b/>
          <w:sz w:val="22"/>
          <w:szCs w:val="22"/>
        </w:rPr>
        <w:t xml:space="preserve">IZVAJANJE PODUKREPA 6.3 </w:t>
      </w:r>
      <w:r w:rsidR="001373A8" w:rsidRPr="001373A8">
        <w:rPr>
          <w:rFonts w:ascii="Tahoma" w:hAnsi="Tahoma" w:cs="Tahoma"/>
          <w:b/>
          <w:sz w:val="22"/>
          <w:szCs w:val="22"/>
        </w:rPr>
        <w:t xml:space="preserve">– </w:t>
      </w:r>
    </w:p>
    <w:p w14:paraId="4991EB32" w14:textId="77777777" w:rsidR="0097782F" w:rsidRPr="001373A8" w:rsidRDefault="001373A8" w:rsidP="000C03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373A8">
        <w:rPr>
          <w:rFonts w:ascii="Tahoma" w:hAnsi="Tahoma" w:cs="Tahoma"/>
          <w:b/>
          <w:sz w:val="22"/>
          <w:szCs w:val="22"/>
        </w:rPr>
        <w:t>POMOČ ZA ZAGON DEJAVNOSTI, NAMENJENE RAZVOJU MAJHNIH KMETIJ IZ PROGRAMA RAZVOJA PODEŽELJA 2014-2020</w:t>
      </w:r>
    </w:p>
    <w:p w14:paraId="7DF8A9AA" w14:textId="77777777" w:rsidR="00166D42" w:rsidRPr="00A40C31" w:rsidRDefault="00C41356" w:rsidP="000C030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C03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november</w:t>
      </w:r>
      <w:r w:rsidR="00C7397E">
        <w:rPr>
          <w:rFonts w:ascii="Arial" w:hAnsi="Arial" w:cs="Arial"/>
          <w:b/>
        </w:rPr>
        <w:t xml:space="preserve"> 2021</w:t>
      </w:r>
    </w:p>
    <w:p w14:paraId="4791CA0E" w14:textId="77777777" w:rsidR="00166D42" w:rsidRDefault="00166D4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F01591F" w14:textId="77777777" w:rsidR="00166D42" w:rsidRDefault="00166D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C4D287" w14:textId="77777777" w:rsidR="008A3836" w:rsidRDefault="008A38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CD5DD5" w14:textId="77777777" w:rsidR="000C0304" w:rsidRDefault="000C0304" w:rsidP="000C03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GRADIVO KGZS </w:t>
      </w:r>
    </w:p>
    <w:p w14:paraId="6F959795" w14:textId="77777777" w:rsidR="008A3836" w:rsidRDefault="008A38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E51BD9" w14:textId="77777777" w:rsidR="00A40C31" w:rsidRDefault="00A40C3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6A4340" w14:textId="77777777" w:rsidR="00166D42" w:rsidRPr="002C583D" w:rsidRDefault="00166D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8CBA5B" w14:textId="77777777" w:rsidR="004D48A9" w:rsidRPr="002C583D" w:rsidRDefault="004D48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4033A2" w14:textId="5351F1BC" w:rsidR="00BD02E0" w:rsidRDefault="00841987" w:rsidP="00C92951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BD02E0">
        <w:rPr>
          <w:rFonts w:ascii="Tahoma" w:hAnsi="Tahoma" w:cs="Tahoma"/>
          <w:b/>
          <w:sz w:val="22"/>
          <w:szCs w:val="22"/>
        </w:rPr>
        <w:lastRenderedPageBreak/>
        <w:t>Uvod</w:t>
      </w:r>
    </w:p>
    <w:p w14:paraId="05546976" w14:textId="77777777" w:rsidR="00BD02E0" w:rsidRDefault="00BD02E0" w:rsidP="001373A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25E7570" w14:textId="37EC9703" w:rsid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02E0">
        <w:rPr>
          <w:rFonts w:ascii="Tahoma" w:hAnsi="Tahoma" w:cs="Tahoma"/>
          <w:sz w:val="22"/>
          <w:szCs w:val="22"/>
        </w:rPr>
        <w:t>V Sloveniji se že od nekdaj prizadevamo za obstoj in razvoj malih kmetij, ker se zavedamo</w:t>
      </w:r>
      <w:r w:rsidR="00BA31C5">
        <w:rPr>
          <w:rFonts w:ascii="Tahoma" w:hAnsi="Tahoma" w:cs="Tahoma"/>
          <w:sz w:val="22"/>
          <w:szCs w:val="22"/>
        </w:rPr>
        <w:t>,</w:t>
      </w:r>
      <w:r w:rsidRPr="00BD02E0">
        <w:rPr>
          <w:rFonts w:ascii="Tahoma" w:hAnsi="Tahoma" w:cs="Tahoma"/>
          <w:sz w:val="22"/>
          <w:szCs w:val="22"/>
        </w:rPr>
        <w:t xml:space="preserve"> kako zelo so pomembne za vitalnost našega podeželja in prehransko varnost. Na podlagi začasnih podatkov iz popisa kmetijstva 2020 imamo v Sloveniji 67.927 kmetij, pri čemer predstavlja delež kmetij, ki imajo površino v velikostnem razredu od 0 do 3 ha KZU</w:t>
      </w:r>
      <w:r w:rsidR="00BA31C5">
        <w:rPr>
          <w:rFonts w:ascii="Tahoma" w:hAnsi="Tahoma" w:cs="Tahoma"/>
          <w:sz w:val="22"/>
          <w:szCs w:val="22"/>
        </w:rPr>
        <w:t>,</w:t>
      </w:r>
      <w:r w:rsidRPr="00BD02E0">
        <w:rPr>
          <w:rFonts w:ascii="Tahoma" w:hAnsi="Tahoma" w:cs="Tahoma"/>
          <w:sz w:val="22"/>
          <w:szCs w:val="22"/>
        </w:rPr>
        <w:t xml:space="preserve"> kar 38,4%. </w:t>
      </w:r>
    </w:p>
    <w:p w14:paraId="12423E3A" w14:textId="77777777" w:rsidR="00BD02E0" w:rsidRP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259F989" w14:textId="25BB84F0" w:rsid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02E0">
        <w:rPr>
          <w:rFonts w:ascii="Tahoma" w:hAnsi="Tahoma" w:cs="Tahoma"/>
          <w:sz w:val="22"/>
          <w:szCs w:val="22"/>
        </w:rPr>
        <w:t xml:space="preserve">Vsi deležniki v kmetijstvu smo se za ohranitev malih kmetij prizadevali tudi po vstopu v EU, ko je bilo to še posebej težka naloga in končno je sedaj ohranjanje malih in srednje velikih kmetij postala tudi pomembna tema evropskega parlamenta </w:t>
      </w:r>
      <w:r w:rsidR="00BA31C5">
        <w:rPr>
          <w:rFonts w:ascii="Tahoma" w:hAnsi="Tahoma" w:cs="Tahoma"/>
          <w:sz w:val="22"/>
          <w:szCs w:val="22"/>
        </w:rPr>
        <w:t>ter</w:t>
      </w:r>
      <w:r w:rsidR="00BA31C5" w:rsidRPr="00BD02E0">
        <w:rPr>
          <w:rFonts w:ascii="Tahoma" w:hAnsi="Tahoma" w:cs="Tahoma"/>
          <w:sz w:val="22"/>
          <w:szCs w:val="22"/>
        </w:rPr>
        <w:t xml:space="preserve"> </w:t>
      </w:r>
      <w:r w:rsidRPr="00BD02E0">
        <w:rPr>
          <w:rFonts w:ascii="Tahoma" w:hAnsi="Tahoma" w:cs="Tahoma"/>
          <w:sz w:val="22"/>
          <w:szCs w:val="22"/>
        </w:rPr>
        <w:t>evropske komisije</w:t>
      </w:r>
      <w:r w:rsidR="00BA31C5">
        <w:rPr>
          <w:rFonts w:ascii="Tahoma" w:hAnsi="Tahoma" w:cs="Tahoma"/>
          <w:sz w:val="22"/>
          <w:szCs w:val="22"/>
        </w:rPr>
        <w:t>.</w:t>
      </w:r>
      <w:r w:rsidRPr="00BD02E0">
        <w:rPr>
          <w:rFonts w:ascii="Tahoma" w:hAnsi="Tahoma" w:cs="Tahoma"/>
          <w:sz w:val="22"/>
          <w:szCs w:val="22"/>
        </w:rPr>
        <w:t xml:space="preserve"> </w:t>
      </w:r>
      <w:r w:rsidR="00BA31C5">
        <w:rPr>
          <w:rFonts w:ascii="Tahoma" w:hAnsi="Tahoma" w:cs="Tahoma"/>
          <w:sz w:val="22"/>
          <w:szCs w:val="22"/>
        </w:rPr>
        <w:t>Bistvo je, da od</w:t>
      </w:r>
      <w:r w:rsidRPr="00BD02E0">
        <w:rPr>
          <w:rFonts w:ascii="Tahoma" w:hAnsi="Tahoma" w:cs="Tahoma"/>
          <w:sz w:val="22"/>
          <w:szCs w:val="22"/>
        </w:rPr>
        <w:t xml:space="preserve"> držav članic zahteva, da v obstoječe programe razvoja podeželja in bodoče strateške načrte določeno vrednost sredstev namenijo tudi razvoju malih kmetij.</w:t>
      </w:r>
    </w:p>
    <w:p w14:paraId="4CCC0B8D" w14:textId="20C6B4AB" w:rsidR="00BD02E0" w:rsidRP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02E0">
        <w:rPr>
          <w:rFonts w:ascii="Tahoma" w:hAnsi="Tahoma" w:cs="Tahoma"/>
          <w:sz w:val="22"/>
          <w:szCs w:val="22"/>
        </w:rPr>
        <w:t xml:space="preserve"> </w:t>
      </w:r>
    </w:p>
    <w:p w14:paraId="4AE3ED19" w14:textId="578425C0" w:rsid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02E0">
        <w:rPr>
          <w:rFonts w:ascii="Tahoma" w:hAnsi="Tahoma" w:cs="Tahoma"/>
          <w:sz w:val="22"/>
          <w:szCs w:val="22"/>
        </w:rPr>
        <w:t xml:space="preserve">Slovenija je potrebo po ohranitvi in razvoju majhnih kmetij zaznala že prej in zato je sedaj v objavi že tretji javni razpis na podukrepu 6.3 Pomoč za zagon dejavnosti, namenjen razvoju majhnih kmetij. Izvajanju tega podukrepa je Slovenija </w:t>
      </w:r>
      <w:r>
        <w:rPr>
          <w:rFonts w:ascii="Tahoma" w:hAnsi="Tahoma" w:cs="Tahoma"/>
          <w:sz w:val="22"/>
          <w:szCs w:val="22"/>
        </w:rPr>
        <w:t xml:space="preserve">v okviru Programa razvoja podeželja 2014-2020 </w:t>
      </w:r>
      <w:r w:rsidRPr="00BD02E0">
        <w:rPr>
          <w:rFonts w:ascii="Tahoma" w:hAnsi="Tahoma" w:cs="Tahoma"/>
          <w:sz w:val="22"/>
          <w:szCs w:val="22"/>
        </w:rPr>
        <w:t xml:space="preserve">namenila 52 </w:t>
      </w:r>
      <w:r w:rsidR="00BA31C5">
        <w:rPr>
          <w:rFonts w:ascii="Tahoma" w:hAnsi="Tahoma" w:cs="Tahoma"/>
          <w:sz w:val="22"/>
          <w:szCs w:val="22"/>
        </w:rPr>
        <w:t>milijonov evrov</w:t>
      </w:r>
      <w:r w:rsidRPr="00BD02E0">
        <w:rPr>
          <w:rFonts w:ascii="Tahoma" w:hAnsi="Tahoma" w:cs="Tahoma"/>
          <w:sz w:val="22"/>
          <w:szCs w:val="22"/>
        </w:rPr>
        <w:t xml:space="preserve">, od tega 39 </w:t>
      </w:r>
      <w:r w:rsidR="00BA31C5">
        <w:rPr>
          <w:rFonts w:ascii="Tahoma" w:hAnsi="Tahoma" w:cs="Tahoma"/>
          <w:sz w:val="22"/>
          <w:szCs w:val="22"/>
        </w:rPr>
        <w:t>milijonov</w:t>
      </w:r>
      <w:r w:rsidR="00BA31C5" w:rsidRPr="00BD02E0">
        <w:rPr>
          <w:rFonts w:ascii="Tahoma" w:hAnsi="Tahoma" w:cs="Tahoma"/>
          <w:sz w:val="22"/>
          <w:szCs w:val="22"/>
        </w:rPr>
        <w:t xml:space="preserve"> </w:t>
      </w:r>
      <w:r w:rsidRPr="00BD02E0">
        <w:rPr>
          <w:rFonts w:ascii="Tahoma" w:hAnsi="Tahoma" w:cs="Tahoma"/>
          <w:sz w:val="22"/>
          <w:szCs w:val="22"/>
        </w:rPr>
        <w:t xml:space="preserve">prispeva EU. </w:t>
      </w:r>
    </w:p>
    <w:p w14:paraId="6C7B55B5" w14:textId="77777777" w:rsidR="00BD02E0" w:rsidRP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C7F128" w14:textId="220DEB74" w:rsidR="00BD02E0" w:rsidRDefault="00BD02E0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3BC8"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sz w:val="22"/>
          <w:szCs w:val="22"/>
        </w:rPr>
        <w:t>podukrep</w:t>
      </w:r>
      <w:r w:rsidRPr="00963BC8">
        <w:rPr>
          <w:rFonts w:ascii="Tahoma" w:hAnsi="Tahoma" w:cs="Tahoma"/>
          <w:sz w:val="22"/>
          <w:szCs w:val="22"/>
        </w:rPr>
        <w:t xml:space="preserve"> se je zelo zavzemala prav Kmetijsko gozdarska zbornica Slovenije. Gre za kmetije, ki do sedaj niso imele možnosti kandidirati na nobenem razpisu, ta novi ukrep </w:t>
      </w:r>
      <w:r w:rsidR="00BA31C5" w:rsidRPr="00963BC8">
        <w:rPr>
          <w:rFonts w:ascii="Tahoma" w:hAnsi="Tahoma" w:cs="Tahoma"/>
          <w:sz w:val="22"/>
          <w:szCs w:val="22"/>
        </w:rPr>
        <w:t xml:space="preserve">pa </w:t>
      </w:r>
      <w:r w:rsidRPr="00963BC8">
        <w:rPr>
          <w:rFonts w:ascii="Tahoma" w:hAnsi="Tahoma" w:cs="Tahoma"/>
          <w:sz w:val="22"/>
          <w:szCs w:val="22"/>
        </w:rPr>
        <w:t xml:space="preserve">jim je omogočil pridobiti vsaj nekaj nepovratnih sredstev za investicije. KGZS se je tudi </w:t>
      </w:r>
      <w:r w:rsidR="00BA31C5">
        <w:rPr>
          <w:rFonts w:ascii="Tahoma" w:hAnsi="Tahoma" w:cs="Tahoma"/>
          <w:sz w:val="22"/>
          <w:szCs w:val="22"/>
        </w:rPr>
        <w:t xml:space="preserve">uspešno </w:t>
      </w:r>
      <w:r w:rsidRPr="00963BC8">
        <w:rPr>
          <w:rFonts w:ascii="Tahoma" w:hAnsi="Tahoma" w:cs="Tahoma"/>
          <w:sz w:val="22"/>
          <w:szCs w:val="22"/>
        </w:rPr>
        <w:t>zavz</w:t>
      </w:r>
      <w:r w:rsidR="00BA31C5">
        <w:rPr>
          <w:rFonts w:ascii="Tahoma" w:hAnsi="Tahoma" w:cs="Tahoma"/>
          <w:sz w:val="22"/>
          <w:szCs w:val="22"/>
        </w:rPr>
        <w:t>e</w:t>
      </w:r>
      <w:r w:rsidRPr="00963BC8">
        <w:rPr>
          <w:rFonts w:ascii="Tahoma" w:hAnsi="Tahoma" w:cs="Tahoma"/>
          <w:sz w:val="22"/>
          <w:szCs w:val="22"/>
        </w:rPr>
        <w:t xml:space="preserve">la za </w:t>
      </w:r>
      <w:r w:rsidR="00BA31C5">
        <w:rPr>
          <w:rFonts w:ascii="Tahoma" w:hAnsi="Tahoma" w:cs="Tahoma"/>
          <w:sz w:val="22"/>
          <w:szCs w:val="22"/>
        </w:rPr>
        <w:t xml:space="preserve">to, da se </w:t>
      </w:r>
      <w:r w:rsidR="00BA31C5" w:rsidRPr="00963BC8">
        <w:rPr>
          <w:rFonts w:ascii="Tahoma" w:hAnsi="Tahoma" w:cs="Tahoma"/>
          <w:sz w:val="22"/>
          <w:szCs w:val="22"/>
        </w:rPr>
        <w:t xml:space="preserve">iz dohodnine </w:t>
      </w:r>
      <w:r w:rsidR="00BA31C5">
        <w:rPr>
          <w:rFonts w:ascii="Tahoma" w:hAnsi="Tahoma" w:cs="Tahoma"/>
          <w:sz w:val="22"/>
          <w:szCs w:val="22"/>
        </w:rPr>
        <w:t>izločijo</w:t>
      </w:r>
      <w:r w:rsidR="00BA31C5" w:rsidRPr="00963BC8">
        <w:rPr>
          <w:rFonts w:ascii="Tahoma" w:hAnsi="Tahoma" w:cs="Tahoma"/>
          <w:sz w:val="22"/>
          <w:szCs w:val="22"/>
        </w:rPr>
        <w:t xml:space="preserve"> </w:t>
      </w:r>
      <w:r w:rsidR="00BA31C5">
        <w:rPr>
          <w:rFonts w:ascii="Tahoma" w:hAnsi="Tahoma" w:cs="Tahoma"/>
          <w:sz w:val="22"/>
          <w:szCs w:val="22"/>
        </w:rPr>
        <w:t>prejeta</w:t>
      </w:r>
      <w:r w:rsidR="00BA31C5" w:rsidRPr="00963BC8">
        <w:rPr>
          <w:rFonts w:ascii="Tahoma" w:hAnsi="Tahoma" w:cs="Tahoma"/>
          <w:sz w:val="22"/>
          <w:szCs w:val="22"/>
        </w:rPr>
        <w:t xml:space="preserve"> </w:t>
      </w:r>
      <w:r w:rsidRPr="00963BC8">
        <w:rPr>
          <w:rFonts w:ascii="Tahoma" w:hAnsi="Tahoma" w:cs="Tahoma"/>
          <w:sz w:val="22"/>
          <w:szCs w:val="22"/>
        </w:rPr>
        <w:t>sredst</w:t>
      </w:r>
      <w:r w:rsidR="00BA31C5">
        <w:rPr>
          <w:rFonts w:ascii="Tahoma" w:hAnsi="Tahoma" w:cs="Tahoma"/>
          <w:sz w:val="22"/>
          <w:szCs w:val="22"/>
        </w:rPr>
        <w:t>va</w:t>
      </w:r>
      <w:r>
        <w:rPr>
          <w:rFonts w:ascii="Tahoma" w:hAnsi="Tahoma" w:cs="Tahoma"/>
          <w:sz w:val="22"/>
          <w:szCs w:val="22"/>
        </w:rPr>
        <w:t xml:space="preserve">, ki so jih upravičenci namenili za investicije in so zanje priložili račune </w:t>
      </w:r>
      <w:r w:rsidR="00BA31C5">
        <w:rPr>
          <w:rFonts w:ascii="Tahoma" w:hAnsi="Tahoma" w:cs="Tahoma"/>
          <w:sz w:val="22"/>
          <w:szCs w:val="22"/>
        </w:rPr>
        <w:t xml:space="preserve">ter </w:t>
      </w:r>
      <w:r>
        <w:rPr>
          <w:rFonts w:ascii="Tahoma" w:hAnsi="Tahoma" w:cs="Tahoma"/>
          <w:sz w:val="22"/>
          <w:szCs w:val="22"/>
        </w:rPr>
        <w:t>dokazila o plačilu</w:t>
      </w:r>
      <w:r w:rsidRPr="00963BC8">
        <w:rPr>
          <w:rFonts w:ascii="Tahoma" w:hAnsi="Tahoma" w:cs="Tahoma"/>
          <w:sz w:val="22"/>
          <w:szCs w:val="22"/>
        </w:rPr>
        <w:t>.</w:t>
      </w:r>
    </w:p>
    <w:p w14:paraId="72BBD387" w14:textId="19DD35F5" w:rsidR="00744879" w:rsidRDefault="00744879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040FC1" w14:textId="018CC5EA" w:rsidR="00744879" w:rsidRPr="00744879" w:rsidRDefault="00744879" w:rsidP="00494A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Trenutno je odprt 3. javni razpis na podukrepu 6.3. Razpisanih je 15,4 </w:t>
      </w:r>
      <w:r w:rsidR="00BA31C5">
        <w:rPr>
          <w:rFonts w:ascii="Tahoma" w:hAnsi="Tahoma" w:cs="Tahoma"/>
          <w:sz w:val="22"/>
          <w:szCs w:val="22"/>
        </w:rPr>
        <w:t>milijona</w:t>
      </w:r>
      <w:r w:rsidR="00BA31C5" w:rsidRPr="00744879">
        <w:rPr>
          <w:rFonts w:ascii="Tahoma" w:hAnsi="Tahoma" w:cs="Tahoma"/>
          <w:sz w:val="22"/>
          <w:szCs w:val="22"/>
        </w:rPr>
        <w:t xml:space="preserve"> </w:t>
      </w:r>
      <w:r w:rsidR="00BA31C5">
        <w:rPr>
          <w:rFonts w:ascii="Tahoma" w:hAnsi="Tahoma" w:cs="Tahoma"/>
          <w:sz w:val="22"/>
          <w:szCs w:val="22"/>
        </w:rPr>
        <w:t>evrov</w:t>
      </w:r>
      <w:r w:rsidRPr="00744879">
        <w:rPr>
          <w:rFonts w:ascii="Tahoma" w:hAnsi="Tahoma" w:cs="Tahoma"/>
          <w:sz w:val="22"/>
          <w:szCs w:val="22"/>
        </w:rPr>
        <w:t xml:space="preserve">. Razpis je odprt do 16. decembra. Na svetovalni službi že intenzivno poteka vnos vlog, zato seveda velja povabilo majhnim kmetijam, ki bi želele kandidirati za pridobitev nepovratnih sredstev v višini 5.000 </w:t>
      </w:r>
      <w:r w:rsidR="00BA31C5">
        <w:rPr>
          <w:rFonts w:ascii="Tahoma" w:hAnsi="Tahoma" w:cs="Tahoma"/>
          <w:sz w:val="22"/>
          <w:szCs w:val="22"/>
        </w:rPr>
        <w:t>evrov</w:t>
      </w:r>
      <w:r w:rsidRPr="00744879">
        <w:rPr>
          <w:rFonts w:ascii="Tahoma" w:hAnsi="Tahoma" w:cs="Tahoma"/>
          <w:sz w:val="22"/>
          <w:szCs w:val="22"/>
        </w:rPr>
        <w:t xml:space="preserve">, da se oglasijo na najbližji izpostavi, kjer jim bodo pomagali izpolniti vlogo. V okviru 3. javnega razpisa lahko vlogo oddajo tudi majhne kmetije s trajnimi nasadi, </w:t>
      </w:r>
      <w:r w:rsidR="00BA31C5">
        <w:rPr>
          <w:rFonts w:ascii="Tahoma" w:hAnsi="Tahoma" w:cs="Tahoma"/>
          <w:sz w:val="22"/>
          <w:szCs w:val="22"/>
        </w:rPr>
        <w:t>saj jim</w:t>
      </w:r>
      <w:r w:rsidR="00BA31C5" w:rsidRPr="00744879">
        <w:rPr>
          <w:rFonts w:ascii="Tahoma" w:hAnsi="Tahoma" w:cs="Tahoma"/>
          <w:sz w:val="22"/>
          <w:szCs w:val="22"/>
        </w:rPr>
        <w:t xml:space="preserve"> </w:t>
      </w:r>
      <w:r w:rsidRPr="00744879">
        <w:rPr>
          <w:rFonts w:ascii="Tahoma" w:hAnsi="Tahoma" w:cs="Tahoma"/>
          <w:sz w:val="22"/>
          <w:szCs w:val="22"/>
        </w:rPr>
        <w:t xml:space="preserve">ne bo </w:t>
      </w:r>
      <w:r w:rsidR="00BA31C5">
        <w:rPr>
          <w:rFonts w:ascii="Tahoma" w:hAnsi="Tahoma" w:cs="Tahoma"/>
          <w:sz w:val="22"/>
          <w:szCs w:val="22"/>
        </w:rPr>
        <w:t>treba</w:t>
      </w:r>
      <w:r w:rsidR="00BA31C5" w:rsidRPr="00744879">
        <w:rPr>
          <w:rFonts w:ascii="Tahoma" w:hAnsi="Tahoma" w:cs="Tahoma"/>
          <w:sz w:val="22"/>
          <w:szCs w:val="22"/>
        </w:rPr>
        <w:t xml:space="preserve"> </w:t>
      </w:r>
      <w:r w:rsidRPr="00744879">
        <w:rPr>
          <w:rFonts w:ascii="Tahoma" w:hAnsi="Tahoma" w:cs="Tahoma"/>
          <w:sz w:val="22"/>
          <w:szCs w:val="22"/>
        </w:rPr>
        <w:t>izpolnjevati pogoja obtežbe z živalmi. V okviru meril za izbor vlog bodo vstopni prag lažje dosegle tudi kmetije, ki niso v problemskih območjih, zato na javni razpis vabimo tudi vse živinorejske kmetije, ki niso kandidirale na prvih dveh javnih razpisih.</w:t>
      </w:r>
    </w:p>
    <w:p w14:paraId="2AAED476" w14:textId="77777777" w:rsidR="00744879" w:rsidRPr="00963BC8" w:rsidRDefault="00744879" w:rsidP="00BD02E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BB61AE8" w14:textId="77777777" w:rsidR="00BD02E0" w:rsidRDefault="00BD02E0" w:rsidP="00BD02E0">
      <w:pPr>
        <w:spacing w:after="160" w:line="259" w:lineRule="auto"/>
        <w:jc w:val="both"/>
        <w:rPr>
          <w:rFonts w:ascii="Tahoma" w:hAnsi="Tahoma" w:cs="Tahoma"/>
          <w:iCs/>
        </w:rPr>
      </w:pPr>
    </w:p>
    <w:p w14:paraId="64898DF6" w14:textId="77777777" w:rsidR="00744879" w:rsidRPr="00224333" w:rsidRDefault="00744879" w:rsidP="00BD02E0">
      <w:pPr>
        <w:spacing w:after="160" w:line="259" w:lineRule="auto"/>
        <w:jc w:val="both"/>
        <w:rPr>
          <w:rFonts w:ascii="Tahoma" w:hAnsi="Tahoma" w:cs="Tahoma"/>
          <w:iCs/>
        </w:rPr>
      </w:pPr>
    </w:p>
    <w:p w14:paraId="2B25D24C" w14:textId="16097EDC" w:rsidR="001373A8" w:rsidRPr="001373A8" w:rsidRDefault="001373A8" w:rsidP="001373A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373A8">
        <w:rPr>
          <w:rFonts w:ascii="Tahoma" w:hAnsi="Tahoma" w:cs="Tahoma"/>
          <w:b/>
          <w:sz w:val="22"/>
          <w:szCs w:val="22"/>
        </w:rPr>
        <w:t>Opis podukrepa</w:t>
      </w:r>
    </w:p>
    <w:p w14:paraId="02608A60" w14:textId="109143BB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3BC8">
        <w:rPr>
          <w:rFonts w:ascii="Tahoma" w:hAnsi="Tahoma" w:cs="Tahoma"/>
          <w:sz w:val="22"/>
          <w:szCs w:val="22"/>
        </w:rPr>
        <w:t>Gre za nov podukrep v programskem obdobju</w:t>
      </w:r>
      <w:r w:rsidR="00BD02E0">
        <w:rPr>
          <w:rFonts w:ascii="Tahoma" w:hAnsi="Tahoma" w:cs="Tahoma"/>
          <w:sz w:val="22"/>
          <w:szCs w:val="22"/>
        </w:rPr>
        <w:t xml:space="preserve"> 2014-2020 (to programsko obdobje se sedaj podaljšuje do leta 2023)</w:t>
      </w:r>
      <w:r w:rsidRPr="00963BC8">
        <w:rPr>
          <w:rFonts w:ascii="Tahoma" w:hAnsi="Tahoma" w:cs="Tahoma"/>
          <w:sz w:val="22"/>
          <w:szCs w:val="22"/>
        </w:rPr>
        <w:t>, namenjen ohranjanju in razvoju majhnih kmetij</w:t>
      </w:r>
      <w:r w:rsidR="00BD02E0">
        <w:rPr>
          <w:rFonts w:ascii="Tahoma" w:hAnsi="Tahoma" w:cs="Tahoma"/>
          <w:sz w:val="22"/>
          <w:szCs w:val="22"/>
        </w:rPr>
        <w:t xml:space="preserve">. </w:t>
      </w:r>
    </w:p>
    <w:p w14:paraId="59171016" w14:textId="1D535707" w:rsidR="00744879" w:rsidRP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Z njim želimo izboljšati konkurenčnost majhnih kmetij, potencial za pridelavo, predelavo oziroma trženje kmetijskih proizvodov, povečati produktivnost ter ekonomsko in okoljsko učinkovitost majhnih kmetij, ohranjati poseljenost na podeželju in preprečevati zaraščenost.</w:t>
      </w:r>
    </w:p>
    <w:p w14:paraId="213E5BD8" w14:textId="77777777" w:rsid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D8C971F" w14:textId="2FE0065F" w:rsidR="00494A49" w:rsidRPr="00963BC8" w:rsidRDefault="00494A49" w:rsidP="00494A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Pogoji za pridobitev sredstev so se po posameznih javnih razpisih nekoliko spreminjali, v okviru 3. javnega razpisa pa veljajo naslednji</w:t>
      </w:r>
      <w:r w:rsidR="00BA31C5">
        <w:rPr>
          <w:rFonts w:ascii="Tahoma" w:hAnsi="Tahoma" w:cs="Tahoma"/>
          <w:sz w:val="22"/>
          <w:szCs w:val="22"/>
        </w:rPr>
        <w:t xml:space="preserve"> pogoji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458E6CAF" w14:textId="40613AA6" w:rsidR="00494A49" w:rsidRPr="00494A49" w:rsidRDefault="00E66CE1" w:rsidP="00494A49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</w:t>
      </w:r>
      <w:r w:rsidR="00494A49">
        <w:rPr>
          <w:rFonts w:ascii="Tahoma" w:hAnsi="Tahoma" w:cs="Tahoma"/>
          <w:sz w:val="22"/>
          <w:szCs w:val="22"/>
        </w:rPr>
        <w:t xml:space="preserve">metija </w:t>
      </w:r>
      <w:r>
        <w:rPr>
          <w:rFonts w:ascii="Tahoma" w:hAnsi="Tahoma" w:cs="Tahoma"/>
          <w:sz w:val="22"/>
          <w:szCs w:val="22"/>
        </w:rPr>
        <w:t xml:space="preserve">mora imeti </w:t>
      </w:r>
      <w:r w:rsidR="00494A49" w:rsidRPr="00494A49">
        <w:rPr>
          <w:rFonts w:ascii="Tahoma" w:hAnsi="Tahoma" w:cs="Tahoma"/>
          <w:sz w:val="22"/>
          <w:szCs w:val="22"/>
        </w:rPr>
        <w:t>v upravljanju najmanj 1,5 ha in manj kot 6 ha primerljivih kmetijskih površin (PKP), kar pomeni 3 – 11,99 ha trajnih travnikov, 1,5 – 5,99 ha njivskih površin ali 0,37 – 1,5 ha vinogradov</w:t>
      </w:r>
      <w:r>
        <w:rPr>
          <w:rFonts w:ascii="Tahoma" w:hAnsi="Tahoma" w:cs="Tahoma"/>
          <w:sz w:val="22"/>
          <w:szCs w:val="22"/>
        </w:rPr>
        <w:t>)</w:t>
      </w:r>
      <w:r w:rsidR="00494A49" w:rsidRPr="00494A49">
        <w:rPr>
          <w:rFonts w:ascii="Tahoma" w:hAnsi="Tahoma" w:cs="Tahoma"/>
          <w:sz w:val="22"/>
          <w:szCs w:val="22"/>
        </w:rPr>
        <w:t>;</w:t>
      </w:r>
    </w:p>
    <w:p w14:paraId="03EC4920" w14:textId="580846CC" w:rsidR="00494A49" w:rsidRPr="00494A49" w:rsidRDefault="00494A49" w:rsidP="00494A49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4A49">
        <w:rPr>
          <w:rFonts w:ascii="Tahoma" w:hAnsi="Tahoma" w:cs="Tahoma"/>
          <w:sz w:val="22"/>
          <w:szCs w:val="22"/>
        </w:rPr>
        <w:t>redijo vsaj 1,5 glav velike živine (GVŽ) in manj kot 15 GVŽ;</w:t>
      </w:r>
    </w:p>
    <w:p w14:paraId="1ABDF20C" w14:textId="77777777" w:rsidR="00494A49" w:rsidRPr="00494A49" w:rsidRDefault="00494A49" w:rsidP="00494A49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4A49">
        <w:rPr>
          <w:rFonts w:ascii="Tahoma" w:hAnsi="Tahoma" w:cs="Tahoma"/>
          <w:sz w:val="22"/>
          <w:szCs w:val="22"/>
        </w:rPr>
        <w:t>zagotavljajo obtežbo s travojedimi živalmi v obsegu 0,5 GVŽ/ha trajnega travinja;</w:t>
      </w:r>
    </w:p>
    <w:p w14:paraId="03FB6A4A" w14:textId="6D13C31D" w:rsidR="00494A49" w:rsidRPr="00494A49" w:rsidRDefault="00494A49" w:rsidP="00494A49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4A49">
        <w:rPr>
          <w:rFonts w:ascii="Tahoma" w:hAnsi="Tahoma" w:cs="Tahoma"/>
          <w:sz w:val="22"/>
          <w:szCs w:val="22"/>
        </w:rPr>
        <w:t xml:space="preserve">pogoja glede obsega GVŽ in obtežbe s travojedimi živalmi ni </w:t>
      </w:r>
      <w:r w:rsidR="00BA31C5">
        <w:rPr>
          <w:rFonts w:ascii="Tahoma" w:hAnsi="Tahoma" w:cs="Tahoma"/>
          <w:sz w:val="22"/>
          <w:szCs w:val="22"/>
        </w:rPr>
        <w:t>treba</w:t>
      </w:r>
      <w:r w:rsidR="00BA31C5" w:rsidRPr="00494A49">
        <w:rPr>
          <w:rFonts w:ascii="Tahoma" w:hAnsi="Tahoma" w:cs="Tahoma"/>
          <w:sz w:val="22"/>
          <w:szCs w:val="22"/>
        </w:rPr>
        <w:t xml:space="preserve"> </w:t>
      </w:r>
      <w:r w:rsidRPr="00494A49">
        <w:rPr>
          <w:rFonts w:ascii="Tahoma" w:hAnsi="Tahoma" w:cs="Tahoma"/>
          <w:sz w:val="22"/>
          <w:szCs w:val="22"/>
        </w:rPr>
        <w:t>izpolnjevati kmetijam, katerih površine trajnih nasadov (rabe: 1211, 1212, 1221, 1230, 1160, 1240) predstavljajo več kot 50 % km</w:t>
      </w:r>
      <w:r w:rsidR="00E66CE1">
        <w:rPr>
          <w:rFonts w:ascii="Tahoma" w:hAnsi="Tahoma" w:cs="Tahoma"/>
          <w:sz w:val="22"/>
          <w:szCs w:val="22"/>
        </w:rPr>
        <w:t>etijskih zemljišč v upravljanju;</w:t>
      </w:r>
    </w:p>
    <w:p w14:paraId="5F2947A3" w14:textId="3B9517D9" w:rsidR="00494A49" w:rsidRPr="00494A49" w:rsidRDefault="00494A49" w:rsidP="00494A49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4A49">
        <w:rPr>
          <w:rFonts w:ascii="Tahoma" w:hAnsi="Tahoma" w:cs="Tahoma"/>
          <w:sz w:val="22"/>
          <w:szCs w:val="22"/>
        </w:rPr>
        <w:t>kmetijsko gospodar</w:t>
      </w:r>
      <w:r w:rsidR="00E66CE1">
        <w:rPr>
          <w:rFonts w:ascii="Tahoma" w:hAnsi="Tahoma" w:cs="Tahoma"/>
          <w:sz w:val="22"/>
          <w:szCs w:val="22"/>
        </w:rPr>
        <w:t>stvo mora biti razvrščeno v OMD.</w:t>
      </w:r>
    </w:p>
    <w:p w14:paraId="786C4B2B" w14:textId="77777777" w:rsidR="00494A49" w:rsidRDefault="00494A4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D102A4" w14:textId="370AAAE7" w:rsidR="00744879" w:rsidRP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Upravičenci do podpore so nosil</w:t>
      </w:r>
      <w:r w:rsidR="00E66CE1">
        <w:rPr>
          <w:rFonts w:ascii="Tahoma" w:hAnsi="Tahoma" w:cs="Tahoma"/>
          <w:sz w:val="22"/>
          <w:szCs w:val="22"/>
        </w:rPr>
        <w:t>ci majhnih kmetij, ki so vpisani</w:t>
      </w:r>
      <w:r w:rsidRPr="00744879">
        <w:rPr>
          <w:rFonts w:ascii="Tahoma" w:hAnsi="Tahoma" w:cs="Tahoma"/>
          <w:sz w:val="22"/>
          <w:szCs w:val="22"/>
        </w:rPr>
        <w:t xml:space="preserve"> v RKG. Poleg vstopnih pogojev, ki so bili že omenjeni, mora upravičenec na javni razpis priložiti enostaven poslovni načrt za obdobje 39 mesecev, v katerem:</w:t>
      </w:r>
    </w:p>
    <w:p w14:paraId="415F47F0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navede izhodiščno stanje kmetije, </w:t>
      </w:r>
    </w:p>
    <w:p w14:paraId="7F578D69" w14:textId="7578CA2E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opiše dejavnosti</w:t>
      </w:r>
      <w:r w:rsidR="00BA31C5">
        <w:rPr>
          <w:rFonts w:ascii="Tahoma" w:hAnsi="Tahoma" w:cs="Tahoma"/>
          <w:sz w:val="22"/>
          <w:szCs w:val="22"/>
        </w:rPr>
        <w:t>,</w:t>
      </w:r>
      <w:r w:rsidRPr="00744879">
        <w:rPr>
          <w:rFonts w:ascii="Tahoma" w:hAnsi="Tahoma" w:cs="Tahoma"/>
          <w:sz w:val="22"/>
          <w:szCs w:val="22"/>
        </w:rPr>
        <w:t xml:space="preserve"> s katerimi se kmetija ukvarja, </w:t>
      </w:r>
    </w:p>
    <w:p w14:paraId="5CD9036F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izbere vsaj en razvojni cilj, ki prispeva h gospodarskemu razvoju kmetije ali vsaj en cilj, ki prispeva k doseganju horizontalnih ciljev (okolje, podnebne spremembe ali inovacije).</w:t>
      </w:r>
    </w:p>
    <w:p w14:paraId="44157CCF" w14:textId="77777777" w:rsid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C6590C5" w14:textId="2A3118BC" w:rsidR="00744879" w:rsidRP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Upravičenec, </w:t>
      </w:r>
      <w:r w:rsidR="00BA31C5">
        <w:rPr>
          <w:rFonts w:ascii="Tahoma" w:hAnsi="Tahoma" w:cs="Tahoma"/>
          <w:sz w:val="22"/>
          <w:szCs w:val="22"/>
        </w:rPr>
        <w:t>ki</w:t>
      </w:r>
      <w:r w:rsidR="00BA31C5" w:rsidRPr="00744879">
        <w:rPr>
          <w:rFonts w:ascii="Tahoma" w:hAnsi="Tahoma" w:cs="Tahoma"/>
          <w:sz w:val="22"/>
          <w:szCs w:val="22"/>
        </w:rPr>
        <w:t xml:space="preserve"> </w:t>
      </w:r>
      <w:r w:rsidRPr="00744879">
        <w:rPr>
          <w:rFonts w:ascii="Tahoma" w:hAnsi="Tahoma" w:cs="Tahoma"/>
          <w:sz w:val="22"/>
          <w:szCs w:val="22"/>
        </w:rPr>
        <w:t>izpolnjuje pogoje javnega razpisa in kateremu je bila izdana odločba o pravici do sredstev, mora izpolniti naslednje bistvene obveznosti:</w:t>
      </w:r>
    </w:p>
    <w:p w14:paraId="64C3DE59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cilje iz poslovnega načrta mora izpolniti najpozneje v roku 39 mesecev po izdani odločbi o pravici do sredstev (velja za vse JR);</w:t>
      </w:r>
    </w:p>
    <w:p w14:paraId="4935E4EF" w14:textId="574394D5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najpozneje v </w:t>
      </w:r>
      <w:r w:rsidR="00BA31C5">
        <w:rPr>
          <w:rFonts w:ascii="Tahoma" w:hAnsi="Tahoma" w:cs="Tahoma"/>
          <w:sz w:val="22"/>
          <w:szCs w:val="22"/>
        </w:rPr>
        <w:t>devetih</w:t>
      </w:r>
      <w:r w:rsidRPr="00744879">
        <w:rPr>
          <w:rFonts w:ascii="Tahoma" w:hAnsi="Tahoma" w:cs="Tahoma"/>
          <w:sz w:val="22"/>
          <w:szCs w:val="22"/>
        </w:rPr>
        <w:t xml:space="preserve"> mesecih od datuma izdaje odločbe o pravici do sredstev mora začeti z izvajanjem poslovnega načrta (velja za vse JR);</w:t>
      </w:r>
    </w:p>
    <w:p w14:paraId="339C6E2E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 vsako leto v obdobju vključenosti v podukrep mora oddati zbirno vlogo (velja za vse JR);</w:t>
      </w:r>
    </w:p>
    <w:p w14:paraId="133BADE2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 na dan vložitve zahtevka za izplačilo drugega obroka podpore ne sme imeti za več kot 10 odstotkov manjšega obsega PKP od obsega PKP, ki ga je imel v zbirni vlogi, oddani v letu objave javnega razpisa, pri čemer obseg PKP ne sme biti manjši od 1,5 ha (velja za 2 in 3 JR);</w:t>
      </w:r>
    </w:p>
    <w:p w14:paraId="738A8267" w14:textId="77777777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 na dan vložitve zahtevka za izplačilo drugega obroka podpore ne sme imeti za več kot 10 odstotkov manjšega obsega PKP od obsega PKP, ki ga je imel v zbirni vlogi, oddani v letu objave javnega razpisa, pri čemer obseg PKP ne sme biti manjši od 1,5 ha (velja za 2 in 3 JR);</w:t>
      </w:r>
    </w:p>
    <w:p w14:paraId="23B99850" w14:textId="56B1A40B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>imajo več kot 50 % kmetijskih zemljišč v upravljanju kmetije na območjih z omejenimi možnostmi za kmetijsko dejavnost (velja za 3 JR).</w:t>
      </w:r>
    </w:p>
    <w:p w14:paraId="78E4629A" w14:textId="77777777" w:rsid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15084F" w14:textId="77EF0CB7" w:rsidR="00744879" w:rsidRPr="00744879" w:rsidRDefault="00744879" w:rsidP="007448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Podpora se upravičencem dodeli kot pavšalno plačilo v obliki nepovratne finančne pomoči. Znesek podpore znaša 5.000 </w:t>
      </w:r>
      <w:r w:rsidR="00BA31C5">
        <w:rPr>
          <w:rFonts w:ascii="Tahoma" w:hAnsi="Tahoma" w:cs="Tahoma"/>
          <w:sz w:val="22"/>
          <w:szCs w:val="22"/>
        </w:rPr>
        <w:t>evrov</w:t>
      </w:r>
      <w:r w:rsidRPr="00744879">
        <w:rPr>
          <w:rFonts w:ascii="Tahoma" w:hAnsi="Tahoma" w:cs="Tahoma"/>
          <w:sz w:val="22"/>
          <w:szCs w:val="22"/>
        </w:rPr>
        <w:t>. Izplača se v dveh obrokih:</w:t>
      </w:r>
    </w:p>
    <w:p w14:paraId="1BEC90F9" w14:textId="28C7B6B4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prvi obrok v višini 3.500 </w:t>
      </w:r>
      <w:r w:rsidR="00BA31C5">
        <w:rPr>
          <w:rFonts w:ascii="Tahoma" w:hAnsi="Tahoma" w:cs="Tahoma"/>
          <w:sz w:val="22"/>
          <w:szCs w:val="22"/>
        </w:rPr>
        <w:t>evrov</w:t>
      </w:r>
      <w:r w:rsidR="00BA31C5" w:rsidRPr="00744879">
        <w:rPr>
          <w:rFonts w:ascii="Tahoma" w:hAnsi="Tahoma" w:cs="Tahoma"/>
          <w:sz w:val="22"/>
          <w:szCs w:val="22"/>
        </w:rPr>
        <w:t xml:space="preserve"> </w:t>
      </w:r>
      <w:r w:rsidRPr="00744879">
        <w:rPr>
          <w:rFonts w:ascii="Tahoma" w:hAnsi="Tahoma" w:cs="Tahoma"/>
          <w:sz w:val="22"/>
          <w:szCs w:val="22"/>
        </w:rPr>
        <w:t>se izplača po prejemu odločbe o pravici do sredstev,</w:t>
      </w:r>
    </w:p>
    <w:p w14:paraId="5D8264DD" w14:textId="29D5183F" w:rsidR="00744879" w:rsidRPr="00744879" w:rsidRDefault="00744879" w:rsidP="0082021D">
      <w:pPr>
        <w:pStyle w:val="Odstavekseznama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44879">
        <w:rPr>
          <w:rFonts w:ascii="Tahoma" w:hAnsi="Tahoma" w:cs="Tahoma"/>
          <w:sz w:val="22"/>
          <w:szCs w:val="22"/>
        </w:rPr>
        <w:t xml:space="preserve">drugi obrok v višini 1.500 </w:t>
      </w:r>
      <w:r w:rsidR="00BA31C5">
        <w:rPr>
          <w:rFonts w:ascii="Tahoma" w:hAnsi="Tahoma" w:cs="Tahoma"/>
          <w:sz w:val="22"/>
          <w:szCs w:val="22"/>
        </w:rPr>
        <w:t>evrov</w:t>
      </w:r>
      <w:r w:rsidRPr="00744879">
        <w:rPr>
          <w:rFonts w:ascii="Tahoma" w:hAnsi="Tahoma" w:cs="Tahoma"/>
          <w:sz w:val="22"/>
          <w:szCs w:val="22"/>
        </w:rPr>
        <w:t xml:space="preserve"> pa se izplača po realizaciji razvojnih ciljev iz  poslovnega načrta in preveritv</w:t>
      </w:r>
      <w:r w:rsidR="00BA31C5">
        <w:rPr>
          <w:rFonts w:ascii="Tahoma" w:hAnsi="Tahoma" w:cs="Tahoma"/>
          <w:sz w:val="22"/>
          <w:szCs w:val="22"/>
        </w:rPr>
        <w:t>i</w:t>
      </w:r>
      <w:r w:rsidRPr="00744879">
        <w:rPr>
          <w:rFonts w:ascii="Tahoma" w:hAnsi="Tahoma" w:cs="Tahoma"/>
          <w:sz w:val="22"/>
          <w:szCs w:val="22"/>
        </w:rPr>
        <w:t xml:space="preserve"> izpolnjevanja sprejetih obveznosti (kmetijske površine v upravljanju in ohranjanje obtežbe z živalmi).</w:t>
      </w:r>
    </w:p>
    <w:p w14:paraId="7B872659" w14:textId="77777777" w:rsidR="006A4FD1" w:rsidRDefault="006A4FD1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D72969" w14:textId="77777777" w:rsidR="006A4FD1" w:rsidRPr="00963BC8" w:rsidRDefault="006A4FD1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73E38C6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914C424" w14:textId="77777777" w:rsidR="001373A8" w:rsidRDefault="001373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B71E52D" w14:textId="59C0B701" w:rsidR="00BD02E0" w:rsidRDefault="00BD02E0" w:rsidP="00BD02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Analiza rezultatov 1. javnega razpisa iz podukrepa 6.3</w:t>
      </w:r>
    </w:p>
    <w:p w14:paraId="4BDAA6F1" w14:textId="308262E2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3BC8">
        <w:rPr>
          <w:rFonts w:ascii="Tahoma" w:hAnsi="Tahoma" w:cs="Tahoma"/>
          <w:sz w:val="22"/>
          <w:szCs w:val="22"/>
        </w:rPr>
        <w:t>Javni razpis za podukrep, v okviru katerega je bilo razpisanih 20 milijonov evrov nepovratnih sredstev, je bil objavljen 13. 10. 2017. Oddaja vlog je potekala od 6. 11. 2017 do vključno 31. 1. 201</w:t>
      </w:r>
      <w:r w:rsidR="00C04061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 w:rsidRPr="00963BC8">
        <w:rPr>
          <w:rFonts w:ascii="Tahoma" w:hAnsi="Tahoma" w:cs="Tahoma"/>
          <w:sz w:val="22"/>
          <w:szCs w:val="22"/>
        </w:rPr>
        <w:t>. Na javni razpis je prispelo 4.038 vlog, od teh je bilo odobrenih 3.975 vlog</w:t>
      </w:r>
      <w:r w:rsidR="00C92951">
        <w:rPr>
          <w:rFonts w:ascii="Tahoma" w:hAnsi="Tahoma" w:cs="Tahoma"/>
          <w:sz w:val="22"/>
          <w:szCs w:val="22"/>
        </w:rPr>
        <w:t>, 12 vlog je bilo odobrenih po pritožbi, tako, da je število vseh odobrenih vlog 3.987</w:t>
      </w:r>
      <w:r w:rsidRPr="00963BC8">
        <w:rPr>
          <w:rFonts w:ascii="Tahoma" w:hAnsi="Tahoma" w:cs="Tahoma"/>
          <w:sz w:val="22"/>
          <w:szCs w:val="22"/>
        </w:rPr>
        <w:t>, v skupnem znesku 19.</w:t>
      </w:r>
      <w:r w:rsidR="000D75EE">
        <w:rPr>
          <w:rFonts w:ascii="Tahoma" w:hAnsi="Tahoma" w:cs="Tahoma"/>
          <w:sz w:val="22"/>
          <w:szCs w:val="22"/>
        </w:rPr>
        <w:t>935</w:t>
      </w:r>
      <w:r w:rsidRPr="00963BC8">
        <w:rPr>
          <w:rFonts w:ascii="Tahoma" w:hAnsi="Tahoma" w:cs="Tahoma"/>
          <w:sz w:val="22"/>
          <w:szCs w:val="22"/>
        </w:rPr>
        <w:t xml:space="preserve">.000 evrov. S pomočjo dodeljenih sredstev bodo majhne kmetije izboljšale svojo konkurenčnost, povečale svojo produktivnost ter ekonomsko in okoljsko učinkovitost. </w:t>
      </w:r>
    </w:p>
    <w:p w14:paraId="1E43531B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D7E756" w14:textId="77777777" w:rsidR="00C41356" w:rsidRDefault="00C41356" w:rsidP="001373A8">
      <w:pPr>
        <w:spacing w:line="360" w:lineRule="auto"/>
        <w:jc w:val="both"/>
        <w:rPr>
          <w:rFonts w:ascii="Tahoma" w:hAnsi="Tahoma" w:cs="Tahoma"/>
        </w:rPr>
      </w:pPr>
      <w:r w:rsidRPr="00963BC8">
        <w:rPr>
          <w:rFonts w:ascii="Tahoma" w:hAnsi="Tahoma" w:cs="Tahoma"/>
          <w:sz w:val="22"/>
          <w:szCs w:val="22"/>
        </w:rPr>
        <w:t xml:space="preserve">Povprečna starost prejemnika sredstev je 54 let; najmlajši prejemnik je bil na dan oddaje vloge na javni razpis star 18 let, najstarejši pa 98 let. Kar 77 % prejemnikov sredstev je moškega spola. Povprečno število polnih delovnih moči na kmetijah prejemnikov sredstev je 1,7 PDM. Prejemniki sredstev v povprečju obdelujejo 7,3 ha kmetijskih zemljišč in redijo 7,8 glave velike živine, povprečna obtežba z živalmi pa znaša 1 GVŽ/ha. Kot je razvidno iz slike številka 1, je največ prejemnikov sredstev iz Savinjske statistične regije, sledijo prejemniki iz Osrednjeslovenske in Podravske regije. </w:t>
      </w:r>
    </w:p>
    <w:p w14:paraId="50D28E61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8AD0BA9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963BC8">
        <w:rPr>
          <w:rFonts w:ascii="Tahoma" w:hAnsi="Tahoma" w:cs="Tahoma"/>
          <w:b/>
          <w:i/>
          <w:sz w:val="22"/>
          <w:szCs w:val="22"/>
        </w:rPr>
        <w:t>Slika 1: število odobrenih vlog po statističnih regijah</w:t>
      </w:r>
    </w:p>
    <w:p w14:paraId="61A525DD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963BC8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F824E3" wp14:editId="46ABD934">
            <wp:extent cx="6493079" cy="3903040"/>
            <wp:effectExtent l="0" t="0" r="317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56" cy="393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A7677" w14:textId="77777777" w:rsidR="001373A8" w:rsidRDefault="001373A8" w:rsidP="001373A8">
      <w:pPr>
        <w:spacing w:line="360" w:lineRule="auto"/>
        <w:jc w:val="both"/>
        <w:rPr>
          <w:rFonts w:ascii="Tahoma" w:hAnsi="Tahoma" w:cs="Tahoma"/>
          <w:b/>
        </w:rPr>
      </w:pPr>
    </w:p>
    <w:p w14:paraId="018F6B48" w14:textId="77777777" w:rsidR="001373A8" w:rsidRDefault="001373A8" w:rsidP="001373A8">
      <w:pPr>
        <w:spacing w:line="360" w:lineRule="auto"/>
        <w:jc w:val="both"/>
        <w:rPr>
          <w:rFonts w:ascii="Tahoma" w:hAnsi="Tahoma" w:cs="Tahoma"/>
          <w:b/>
        </w:rPr>
      </w:pPr>
    </w:p>
    <w:p w14:paraId="76135789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b/>
        </w:rPr>
      </w:pPr>
      <w:r w:rsidRPr="00963BC8">
        <w:rPr>
          <w:rFonts w:ascii="Tahoma" w:hAnsi="Tahoma" w:cs="Tahoma"/>
          <w:b/>
        </w:rPr>
        <w:t>Izbrani cilji</w:t>
      </w:r>
    </w:p>
    <w:p w14:paraId="550072A9" w14:textId="77777777" w:rsidR="0065297E" w:rsidRDefault="00C41356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63BC8">
        <w:rPr>
          <w:rFonts w:ascii="Tahoma" w:hAnsi="Tahoma" w:cs="Tahoma"/>
          <w:sz w:val="22"/>
          <w:szCs w:val="22"/>
        </w:rPr>
        <w:t xml:space="preserve">Glede na podatke iz slike 2 ugotavljamo, da je bil po pričakovanjih najpogosteje izbran cilj v poslovnem načrtu nakup kmetijske mehanizacije. Sledita pa cilja nakup informacijsko-komunikacijske opreme (IKT) ter nakup in postavitev rastlinjakov, ki sta opredeljena kot cilja, ki prispevata k doseganju horizontalnim ciljem inovacije, okolje in podnebne spremembe. Od vseh izbranih ciljev, predstavljajo cilji, ki prispevajo k doseganju horizontalnih ciljev inovacije, okolje in podnebne spremembe kar 43 %, kar kaže na to, da se tudi manjše kmetije zavedajo nujnosti prilagajanja podnebnim spremembam in informatizaciji, prisotna pa je tudi visoka stopnja zavedanja o pomenu ohranjanja okolja. </w:t>
      </w:r>
    </w:p>
    <w:p w14:paraId="411D365E" w14:textId="77777777" w:rsidR="0065297E" w:rsidRDefault="0065297E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F120D51" w14:textId="27FB6BC0" w:rsidR="00C41356" w:rsidRPr="00963BC8" w:rsidRDefault="0065297E" w:rsidP="001373A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5297E">
        <w:rPr>
          <w:rFonts w:ascii="Tahoma" w:hAnsi="Tahoma" w:cs="Tahoma"/>
          <w:sz w:val="22"/>
          <w:szCs w:val="22"/>
        </w:rPr>
        <w:t>V okviru 1. javnega razpisa so si majhne kmetije izbrale za izpolnitev 9.047 razvojnih ciljev. Povprečno število razvojnih cil</w:t>
      </w:r>
      <w:r>
        <w:rPr>
          <w:rFonts w:ascii="Tahoma" w:hAnsi="Tahoma" w:cs="Tahoma"/>
          <w:sz w:val="22"/>
          <w:szCs w:val="22"/>
        </w:rPr>
        <w:t>jev na KMG je tako znašalo 2,37</w:t>
      </w:r>
      <w:r w:rsidR="00C41356" w:rsidRPr="00963BC8">
        <w:rPr>
          <w:rFonts w:ascii="Tahoma" w:hAnsi="Tahoma" w:cs="Tahoma"/>
          <w:sz w:val="22"/>
          <w:szCs w:val="22"/>
        </w:rPr>
        <w:t>, kar nam poleg že zgoraj opisanih dejstev priča o kvalitetni vsebini poslovnih načrtov.</w:t>
      </w:r>
    </w:p>
    <w:p w14:paraId="5295CD0B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794A9B06" w14:textId="36A06599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963BC8">
        <w:rPr>
          <w:rFonts w:ascii="Tahoma" w:hAnsi="Tahoma" w:cs="Tahoma"/>
          <w:b/>
          <w:i/>
          <w:sz w:val="22"/>
          <w:szCs w:val="22"/>
        </w:rPr>
        <w:t>Slika 2: Najpogosteje izbrani cilji v poslovnem načrtu</w:t>
      </w:r>
    </w:p>
    <w:p w14:paraId="3E2A2892" w14:textId="77777777" w:rsidR="00C41356" w:rsidRPr="00963BC8" w:rsidRDefault="00C41356" w:rsidP="001373A8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963BC8">
        <w:rPr>
          <w:rFonts w:ascii="Tahoma" w:hAnsi="Tahoma" w:cs="Tahoma"/>
          <w:i/>
          <w:noProof/>
          <w:sz w:val="22"/>
          <w:szCs w:val="22"/>
        </w:rPr>
        <w:drawing>
          <wp:inline distT="0" distB="0" distL="0" distR="0" wp14:anchorId="49B87755" wp14:editId="44C6D0BE">
            <wp:extent cx="6454595" cy="3879909"/>
            <wp:effectExtent l="0" t="0" r="381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47" cy="389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33863" w14:textId="77777777" w:rsidR="00C41356" w:rsidRDefault="00C41356" w:rsidP="001373A8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47EFD88A" w14:textId="77777777" w:rsidR="0082021D" w:rsidRDefault="0082021D" w:rsidP="008202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021D">
        <w:rPr>
          <w:rFonts w:ascii="Tahoma" w:hAnsi="Tahoma" w:cs="Tahoma"/>
          <w:sz w:val="22"/>
          <w:szCs w:val="22"/>
        </w:rPr>
        <w:t xml:space="preserve">V avgustu 2021 se je tako zaključilo obdobje izvajanja poslovnega načrta za upravičence, ki so prejeli odločbe o pravici do sredstev v okviru prvega javnega razpisa. Večina upravičencev je tako ob pomoči Javne službe kmetijskega svetovanja uspešno pripravila zahtevek za izplačilo drugega obroka ter z njim dokazala izpolnitev zastavljenih razvojnih ciljev. </w:t>
      </w:r>
    </w:p>
    <w:p w14:paraId="2530BDFD" w14:textId="77777777" w:rsidR="00494A49" w:rsidRDefault="00494A49" w:rsidP="008202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282785" w14:textId="526560D7" w:rsidR="00494A49" w:rsidRPr="00494A49" w:rsidRDefault="00494A49" w:rsidP="00494A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4A49">
        <w:rPr>
          <w:rFonts w:ascii="Tahoma" w:hAnsi="Tahoma" w:cs="Tahoma"/>
          <w:sz w:val="22"/>
          <w:szCs w:val="22"/>
        </w:rPr>
        <w:t>Do 15.</w:t>
      </w:r>
      <w:r w:rsidR="00BA31C5">
        <w:rPr>
          <w:rFonts w:ascii="Tahoma" w:hAnsi="Tahoma" w:cs="Tahoma"/>
          <w:sz w:val="22"/>
          <w:szCs w:val="22"/>
        </w:rPr>
        <w:t xml:space="preserve"> septembra 2021</w:t>
      </w:r>
      <w:r w:rsidRPr="00494A49">
        <w:rPr>
          <w:rFonts w:ascii="Tahoma" w:hAnsi="Tahoma" w:cs="Tahoma"/>
          <w:sz w:val="22"/>
          <w:szCs w:val="22"/>
        </w:rPr>
        <w:t xml:space="preserve"> je tako Agencija prejela 3.821 zahtevkov za izplačilo drugega obroka. Do sedaj je Agenciji uspelo pregledati in izplačati že 3.538 zahtevkov. Preostali zahtevki bodo izplačani do sredine novembra.</w:t>
      </w:r>
    </w:p>
    <w:p w14:paraId="78B3C864" w14:textId="41195406" w:rsidR="0082021D" w:rsidRPr="0082021D" w:rsidRDefault="0082021D" w:rsidP="008202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021D">
        <w:rPr>
          <w:rFonts w:ascii="Tahoma" w:hAnsi="Tahoma" w:cs="Tahoma"/>
          <w:sz w:val="22"/>
          <w:szCs w:val="22"/>
        </w:rPr>
        <w:t xml:space="preserve">Z zadovoljstvom lahko ugotavljamo, da je bila izvedba prvega javnega razpisa uspešna, saj so bila sredstva v celoti porabljena oziroma višina vrnjenih sredstev zanemarljiva. To je bil velik obseg dela za Javno službo kmetijskega svetovanja in izjemno veliko truda je bilo </w:t>
      </w:r>
      <w:r w:rsidR="00691977">
        <w:rPr>
          <w:rFonts w:ascii="Tahoma" w:hAnsi="Tahoma" w:cs="Tahoma"/>
          <w:sz w:val="22"/>
          <w:szCs w:val="22"/>
        </w:rPr>
        <w:t>treba</w:t>
      </w:r>
      <w:r w:rsidR="00691977" w:rsidRPr="0082021D">
        <w:rPr>
          <w:rFonts w:ascii="Tahoma" w:hAnsi="Tahoma" w:cs="Tahoma"/>
          <w:sz w:val="22"/>
          <w:szCs w:val="22"/>
        </w:rPr>
        <w:t xml:space="preserve"> </w:t>
      </w:r>
      <w:r w:rsidRPr="0082021D">
        <w:rPr>
          <w:rFonts w:ascii="Tahoma" w:hAnsi="Tahoma" w:cs="Tahoma"/>
          <w:sz w:val="22"/>
          <w:szCs w:val="22"/>
        </w:rPr>
        <w:t>vložiti v promocijo razpisa, da so se male kmetije, ki nimajo izkušenj</w:t>
      </w:r>
      <w:r w:rsidR="00691977">
        <w:rPr>
          <w:rFonts w:ascii="Tahoma" w:hAnsi="Tahoma" w:cs="Tahoma"/>
          <w:sz w:val="22"/>
          <w:szCs w:val="22"/>
        </w:rPr>
        <w:t>,</w:t>
      </w:r>
      <w:r w:rsidRPr="0082021D">
        <w:rPr>
          <w:rFonts w:ascii="Tahoma" w:hAnsi="Tahoma" w:cs="Tahoma"/>
          <w:sz w:val="22"/>
          <w:szCs w:val="22"/>
        </w:rPr>
        <w:t xml:space="preserve"> odzvale na razpis. Vsekakor nam brez tvornega sodelovanja z Agencijo od objave razpisa pa vse do izplačila zadnjega obroka sredste</w:t>
      </w:r>
      <w:r w:rsidR="004C76F5">
        <w:rPr>
          <w:rFonts w:ascii="Tahoma" w:hAnsi="Tahoma" w:cs="Tahoma"/>
          <w:sz w:val="22"/>
          <w:szCs w:val="22"/>
        </w:rPr>
        <w:t>v</w:t>
      </w:r>
      <w:r w:rsidRPr="0082021D">
        <w:rPr>
          <w:rFonts w:ascii="Tahoma" w:hAnsi="Tahoma" w:cs="Tahoma"/>
          <w:sz w:val="22"/>
          <w:szCs w:val="22"/>
        </w:rPr>
        <w:t xml:space="preserve"> tega zahtevnega projekta ne bi uspelo izvesti.</w:t>
      </w:r>
    </w:p>
    <w:p w14:paraId="63771584" w14:textId="77777777" w:rsidR="00C41356" w:rsidRPr="00963BC8" w:rsidRDefault="00C41356" w:rsidP="00C41356">
      <w:pPr>
        <w:spacing w:line="260" w:lineRule="atLeast"/>
        <w:jc w:val="both"/>
        <w:rPr>
          <w:rFonts w:ascii="Tahoma" w:hAnsi="Tahoma" w:cs="Tahoma"/>
          <w:sz w:val="22"/>
          <w:szCs w:val="22"/>
        </w:rPr>
      </w:pPr>
    </w:p>
    <w:p w14:paraId="6A8143FD" w14:textId="77777777" w:rsidR="004876EE" w:rsidRPr="009D1827" w:rsidRDefault="004876EE" w:rsidP="00C41356">
      <w:pPr>
        <w:spacing w:line="360" w:lineRule="auto"/>
        <w:jc w:val="both"/>
        <w:rPr>
          <w:rFonts w:ascii="Tahoma" w:eastAsia="Arial" w:hAnsi="Tahoma" w:cs="Tahoma"/>
          <w:b/>
          <w:sz w:val="22"/>
          <w:szCs w:val="22"/>
        </w:rPr>
      </w:pPr>
    </w:p>
    <w:sectPr w:rsidR="004876EE" w:rsidRPr="009D1827" w:rsidSect="00841987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7239" w14:textId="77777777" w:rsidR="000810B9" w:rsidRDefault="000810B9">
      <w:r>
        <w:separator/>
      </w:r>
    </w:p>
  </w:endnote>
  <w:endnote w:type="continuationSeparator" w:id="0">
    <w:p w14:paraId="7425F374" w14:textId="77777777" w:rsidR="000810B9" w:rsidRDefault="000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lektiv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A028F" w14:textId="400F9F6B" w:rsidR="00FB0EBA" w:rsidRDefault="00FB0EBA" w:rsidP="004F7A6C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C04061">
      <w:rPr>
        <w:rStyle w:val="tevilkastrani"/>
        <w:noProof/>
      </w:rPr>
      <w:t>7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04061">
      <w:rPr>
        <w:rStyle w:val="tevilkastrani"/>
        <w:noProof/>
      </w:rPr>
      <w:t>7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4135" w14:textId="77777777" w:rsidR="000810B9" w:rsidRDefault="000810B9">
      <w:r>
        <w:separator/>
      </w:r>
    </w:p>
  </w:footnote>
  <w:footnote w:type="continuationSeparator" w:id="0">
    <w:p w14:paraId="64483DC5" w14:textId="77777777" w:rsidR="000810B9" w:rsidRDefault="0008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AE37" w14:textId="77777777" w:rsidR="00FB0EBA" w:rsidRDefault="00FB0EBA">
    <w:pPr>
      <w:pStyle w:val="Glava"/>
    </w:pPr>
  </w:p>
  <w:p w14:paraId="5E975D41" w14:textId="77777777" w:rsidR="00FB0EBA" w:rsidRDefault="00FB0EBA">
    <w:pPr>
      <w:pStyle w:val="Glava"/>
    </w:pPr>
  </w:p>
  <w:p w14:paraId="6FE16864" w14:textId="77777777" w:rsidR="00FB0EBA" w:rsidRDefault="00FB0EBA">
    <w:pPr>
      <w:pStyle w:val="Glava"/>
    </w:pPr>
  </w:p>
  <w:p w14:paraId="356EC61B" w14:textId="77777777" w:rsidR="00FB0EBA" w:rsidRDefault="00FB0EBA">
    <w:pPr>
      <w:pStyle w:val="Glava"/>
    </w:pPr>
  </w:p>
  <w:p w14:paraId="75B2C45C" w14:textId="77777777" w:rsidR="00FB0EBA" w:rsidRDefault="00FB0EBA">
    <w:pPr>
      <w:pStyle w:val="Glava"/>
    </w:pPr>
  </w:p>
  <w:p w14:paraId="6623F35B" w14:textId="77777777" w:rsidR="00FB0EBA" w:rsidRDefault="00FB0EBA">
    <w:pPr>
      <w:pStyle w:val="Glava"/>
    </w:pPr>
  </w:p>
  <w:p w14:paraId="0C3BE6AB" w14:textId="77777777" w:rsidR="00FB0EBA" w:rsidRDefault="00FB0EBA">
    <w:pPr>
      <w:pStyle w:val="Glava"/>
    </w:pPr>
  </w:p>
  <w:p w14:paraId="710CE437" w14:textId="77777777" w:rsidR="00FB0EBA" w:rsidRDefault="00FB0EBA">
    <w:pPr>
      <w:pStyle w:val="Glava"/>
    </w:pPr>
  </w:p>
  <w:p w14:paraId="169C17BB" w14:textId="77777777" w:rsidR="00FB0EBA" w:rsidRDefault="00FB0E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AA195" w14:textId="77777777" w:rsidR="00FB0EBA" w:rsidRDefault="00FB0EBA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76E8BA" wp14:editId="2ECAF606">
              <wp:simplePos x="0" y="0"/>
              <wp:positionH relativeFrom="margin">
                <wp:posOffset>0</wp:posOffset>
              </wp:positionH>
              <wp:positionV relativeFrom="paragraph">
                <wp:posOffset>-355864</wp:posOffset>
              </wp:positionV>
              <wp:extent cx="2047875" cy="457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B4DF0" w14:textId="77777777" w:rsidR="00FB0EBA" w:rsidRDefault="00FB0EBA">
                          <w:pPr>
                            <w:pStyle w:val="Naslov1"/>
                            <w:rPr>
                              <w:b w:val="0"/>
                              <w:bCs w:val="0"/>
                              <w:sz w:val="16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16"/>
                            </w:rPr>
                            <w:t>Gospodinjska ulica 6, 1000 Ljubljana</w:t>
                          </w:r>
                        </w:p>
                        <w:p w14:paraId="7979ABD4" w14:textId="77777777" w:rsidR="00FB0EBA" w:rsidRDefault="00FB0EB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tel.: (01) 51 36 640</w:t>
                          </w:r>
                        </w:p>
                        <w:p w14:paraId="4BC1D455" w14:textId="77777777" w:rsidR="00FB0EBA" w:rsidRDefault="00FB0EBA">
                          <w:pPr>
                            <w:pStyle w:val="Naslov2"/>
                          </w:pPr>
                          <w:r>
                            <w:rPr>
                              <w:b w:val="0"/>
                              <w:bCs w:val="0"/>
                            </w:rPr>
                            <w:t xml:space="preserve">E-pošta: </w:t>
                          </w:r>
                          <w:hyperlink r:id="rId1" w:history="1">
                            <w:r>
                              <w:rPr>
                                <w:rStyle w:val="Hiperpovezava"/>
                              </w:rPr>
                              <w:t>kgzs@kgzs.si</w:t>
                            </w:r>
                          </w:hyperlink>
                          <w:r>
                            <w:t xml:space="preserve">  </w:t>
                          </w:r>
                        </w:p>
                        <w:p w14:paraId="65FBA581" w14:textId="77777777" w:rsidR="00FB0EBA" w:rsidRDefault="00FB0EBA">
                          <w:pPr>
                            <w:pStyle w:val="Naslov2"/>
                          </w:pPr>
                          <w: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iperpovezava"/>
                              </w:rPr>
                              <w:t>www.kgzs.si</w:t>
                            </w:r>
                          </w:hyperlink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6E8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8pt;width:16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Xl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" stroked="f">
              <v:textbox inset="6.75pt,3.75pt,6.75pt,3.75pt">
                <w:txbxContent>
                  <w:p w14:paraId="13CB4DF0" w14:textId="77777777" w:rsidR="00FB0EBA" w:rsidRDefault="00FB0EBA">
                    <w:pPr>
                      <w:pStyle w:val="Naslov1"/>
                      <w:rPr>
                        <w:b w:val="0"/>
                        <w:bCs w:val="0"/>
                        <w:sz w:val="16"/>
                      </w:rPr>
                    </w:pPr>
                    <w:r>
                      <w:rPr>
                        <w:b w:val="0"/>
                        <w:bCs w:val="0"/>
                        <w:sz w:val="16"/>
                      </w:rPr>
                      <w:t>Gospodinjska ulica 6, 1000 Ljubljana</w:t>
                    </w:r>
                  </w:p>
                  <w:p w14:paraId="7979ABD4" w14:textId="77777777" w:rsidR="00FB0EBA" w:rsidRDefault="00FB0EB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tel.: (01) 51 36 640</w:t>
                    </w:r>
                  </w:p>
                  <w:p w14:paraId="4BC1D455" w14:textId="77777777" w:rsidR="00FB0EBA" w:rsidRDefault="00FB0EBA">
                    <w:pPr>
                      <w:pStyle w:val="Naslov2"/>
                    </w:pPr>
                    <w:r>
                      <w:rPr>
                        <w:b w:val="0"/>
                        <w:bCs w:val="0"/>
                      </w:rPr>
                      <w:t xml:space="preserve">E-pošta: </w:t>
                    </w:r>
                    <w:hyperlink r:id="rId3" w:history="1">
                      <w:r>
                        <w:rPr>
                          <w:rStyle w:val="Hiperpovezava"/>
                        </w:rPr>
                        <w:t>kgzs@kgzs.si</w:t>
                      </w:r>
                    </w:hyperlink>
                    <w:r>
                      <w:t xml:space="preserve">  </w:t>
                    </w:r>
                  </w:p>
                  <w:p w14:paraId="65FBA581" w14:textId="77777777" w:rsidR="00FB0EBA" w:rsidRDefault="00FB0EBA">
                    <w:pPr>
                      <w:pStyle w:val="Naslov2"/>
                    </w:pPr>
                    <w:r>
                      <w:t xml:space="preserve"> </w:t>
                    </w:r>
                    <w:hyperlink r:id="rId4" w:history="1">
                      <w:r>
                        <w:rPr>
                          <w:rStyle w:val="Hiperpovezava"/>
                        </w:rPr>
                        <w:t>www.kgzs.si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C04061">
      <w:rPr>
        <w:noProof/>
      </w:rPr>
      <w:object w:dxaOrig="1440" w:dyaOrig="1440" w14:anchorId="3B4CF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.9pt;margin-top:-91.55pt;width:143.25pt;height:63pt;z-index:251657216;mso-position-horizontal-relative:text;mso-position-vertical-relative:text">
          <v:imagedata r:id="rId5" o:title=""/>
        </v:shape>
        <o:OLEObject Type="Embed" ProgID="Word.Picture.8" ShapeID="_x0000_s2049" DrawAspect="Content" ObjectID="_1697398055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2F"/>
      </v:shape>
    </w:pict>
  </w:numPicBullet>
  <w:abstractNum w:abstractNumId="0" w15:restartNumberingAfterBreak="0">
    <w:nsid w:val="03E23589"/>
    <w:multiLevelType w:val="hybridMultilevel"/>
    <w:tmpl w:val="1548A8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B72"/>
    <w:multiLevelType w:val="hybridMultilevel"/>
    <w:tmpl w:val="3E2A4512"/>
    <w:lvl w:ilvl="0" w:tplc="F5043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16152"/>
    <w:multiLevelType w:val="hybridMultilevel"/>
    <w:tmpl w:val="9C04EAC8"/>
    <w:lvl w:ilvl="0" w:tplc="6D48C7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13737"/>
    <w:multiLevelType w:val="hybridMultilevel"/>
    <w:tmpl w:val="6A628AB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770D2"/>
    <w:multiLevelType w:val="hybridMultilevel"/>
    <w:tmpl w:val="D57EEDA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82961"/>
    <w:multiLevelType w:val="hybridMultilevel"/>
    <w:tmpl w:val="46A80C18"/>
    <w:lvl w:ilvl="0" w:tplc="6D48C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746E"/>
    <w:multiLevelType w:val="hybridMultilevel"/>
    <w:tmpl w:val="E070EC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BB1"/>
    <w:multiLevelType w:val="hybridMultilevel"/>
    <w:tmpl w:val="5AA877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7C5"/>
    <w:multiLevelType w:val="hybridMultilevel"/>
    <w:tmpl w:val="D006F1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379C5"/>
    <w:multiLevelType w:val="hybridMultilevel"/>
    <w:tmpl w:val="652A52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07C96"/>
    <w:multiLevelType w:val="hybridMultilevel"/>
    <w:tmpl w:val="CBDE77EC"/>
    <w:lvl w:ilvl="0" w:tplc="1110D498">
      <w:numFmt w:val="bullet"/>
      <w:lvlText w:val="-"/>
      <w:lvlJc w:val="left"/>
      <w:pPr>
        <w:ind w:left="145" w:hanging="96"/>
      </w:pPr>
      <w:rPr>
        <w:rFonts w:ascii="Calibri" w:eastAsia="Calibri" w:hAnsi="Calibri" w:cs="Calibri" w:hint="default"/>
        <w:w w:val="101"/>
        <w:sz w:val="18"/>
        <w:szCs w:val="18"/>
      </w:rPr>
    </w:lvl>
    <w:lvl w:ilvl="1" w:tplc="5E5C44BC">
      <w:numFmt w:val="bullet"/>
      <w:lvlText w:val="•"/>
      <w:lvlJc w:val="left"/>
      <w:pPr>
        <w:ind w:left="484" w:hanging="96"/>
      </w:pPr>
      <w:rPr>
        <w:rFonts w:hint="default"/>
      </w:rPr>
    </w:lvl>
    <w:lvl w:ilvl="2" w:tplc="5C0470E8">
      <w:numFmt w:val="bullet"/>
      <w:lvlText w:val="•"/>
      <w:lvlJc w:val="left"/>
      <w:pPr>
        <w:ind w:left="828" w:hanging="96"/>
      </w:pPr>
      <w:rPr>
        <w:rFonts w:hint="default"/>
      </w:rPr>
    </w:lvl>
    <w:lvl w:ilvl="3" w:tplc="DF928144">
      <w:numFmt w:val="bullet"/>
      <w:lvlText w:val="•"/>
      <w:lvlJc w:val="left"/>
      <w:pPr>
        <w:ind w:left="1172" w:hanging="96"/>
      </w:pPr>
      <w:rPr>
        <w:rFonts w:hint="default"/>
      </w:rPr>
    </w:lvl>
    <w:lvl w:ilvl="4" w:tplc="9790F916">
      <w:numFmt w:val="bullet"/>
      <w:lvlText w:val="•"/>
      <w:lvlJc w:val="left"/>
      <w:pPr>
        <w:ind w:left="1517" w:hanging="96"/>
      </w:pPr>
      <w:rPr>
        <w:rFonts w:hint="default"/>
      </w:rPr>
    </w:lvl>
    <w:lvl w:ilvl="5" w:tplc="5D7E091C">
      <w:numFmt w:val="bullet"/>
      <w:lvlText w:val="•"/>
      <w:lvlJc w:val="left"/>
      <w:pPr>
        <w:ind w:left="1861" w:hanging="96"/>
      </w:pPr>
      <w:rPr>
        <w:rFonts w:hint="default"/>
      </w:rPr>
    </w:lvl>
    <w:lvl w:ilvl="6" w:tplc="ED82409E">
      <w:numFmt w:val="bullet"/>
      <w:lvlText w:val="•"/>
      <w:lvlJc w:val="left"/>
      <w:pPr>
        <w:ind w:left="2205" w:hanging="96"/>
      </w:pPr>
      <w:rPr>
        <w:rFonts w:hint="default"/>
      </w:rPr>
    </w:lvl>
    <w:lvl w:ilvl="7" w:tplc="58B0E412">
      <w:numFmt w:val="bullet"/>
      <w:lvlText w:val="•"/>
      <w:lvlJc w:val="left"/>
      <w:pPr>
        <w:ind w:left="2550" w:hanging="96"/>
      </w:pPr>
      <w:rPr>
        <w:rFonts w:hint="default"/>
      </w:rPr>
    </w:lvl>
    <w:lvl w:ilvl="8" w:tplc="377E2AF2">
      <w:numFmt w:val="bullet"/>
      <w:lvlText w:val="•"/>
      <w:lvlJc w:val="left"/>
      <w:pPr>
        <w:ind w:left="2894" w:hanging="96"/>
      </w:pPr>
      <w:rPr>
        <w:rFonts w:hint="default"/>
      </w:rPr>
    </w:lvl>
  </w:abstractNum>
  <w:abstractNum w:abstractNumId="11" w15:restartNumberingAfterBreak="0">
    <w:nsid w:val="2D7C258D"/>
    <w:multiLevelType w:val="hybridMultilevel"/>
    <w:tmpl w:val="77706E92"/>
    <w:lvl w:ilvl="0" w:tplc="E68C04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6C4A"/>
    <w:multiLevelType w:val="multilevel"/>
    <w:tmpl w:val="2E30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9B391B"/>
    <w:multiLevelType w:val="hybridMultilevel"/>
    <w:tmpl w:val="5C8E36E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C5732"/>
    <w:multiLevelType w:val="hybridMultilevel"/>
    <w:tmpl w:val="D27EE7C2"/>
    <w:lvl w:ilvl="0" w:tplc="11404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71E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0150CB"/>
    <w:multiLevelType w:val="hybridMultilevel"/>
    <w:tmpl w:val="BA108F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262"/>
    <w:multiLevelType w:val="hybridMultilevel"/>
    <w:tmpl w:val="E3364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28FA"/>
    <w:multiLevelType w:val="hybridMultilevel"/>
    <w:tmpl w:val="EF74F066"/>
    <w:lvl w:ilvl="0" w:tplc="6D48C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60FC"/>
    <w:multiLevelType w:val="hybridMultilevel"/>
    <w:tmpl w:val="CCEE5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13A9"/>
    <w:multiLevelType w:val="hybridMultilevel"/>
    <w:tmpl w:val="DCD0AE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B7B76"/>
    <w:multiLevelType w:val="hybridMultilevel"/>
    <w:tmpl w:val="6B54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033E"/>
    <w:multiLevelType w:val="hybridMultilevel"/>
    <w:tmpl w:val="15E8B5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F18CC"/>
    <w:multiLevelType w:val="hybridMultilevel"/>
    <w:tmpl w:val="9F308616"/>
    <w:lvl w:ilvl="0" w:tplc="828C94C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6D48C7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427B1"/>
    <w:multiLevelType w:val="multilevel"/>
    <w:tmpl w:val="67A238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9236BE"/>
    <w:multiLevelType w:val="hybridMultilevel"/>
    <w:tmpl w:val="B684571E"/>
    <w:lvl w:ilvl="0" w:tplc="6D48C7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4028C"/>
    <w:multiLevelType w:val="hybridMultilevel"/>
    <w:tmpl w:val="BE8C9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4EAA"/>
    <w:multiLevelType w:val="hybridMultilevel"/>
    <w:tmpl w:val="08482E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F0056"/>
    <w:multiLevelType w:val="hybridMultilevel"/>
    <w:tmpl w:val="2D7EB33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E3E16"/>
    <w:multiLevelType w:val="hybridMultilevel"/>
    <w:tmpl w:val="55AC2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5C49"/>
    <w:multiLevelType w:val="hybridMultilevel"/>
    <w:tmpl w:val="6A909F92"/>
    <w:lvl w:ilvl="0" w:tplc="E68C04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32EA7"/>
    <w:multiLevelType w:val="hybridMultilevel"/>
    <w:tmpl w:val="105CF1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F6107"/>
    <w:multiLevelType w:val="hybridMultilevel"/>
    <w:tmpl w:val="0366D7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D00"/>
    <w:multiLevelType w:val="hybridMultilevel"/>
    <w:tmpl w:val="B6D81C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24BD5"/>
    <w:multiLevelType w:val="hybridMultilevel"/>
    <w:tmpl w:val="BDA874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23DD7"/>
    <w:multiLevelType w:val="hybridMultilevel"/>
    <w:tmpl w:val="38E632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45032"/>
    <w:multiLevelType w:val="hybridMultilevel"/>
    <w:tmpl w:val="8A02F10C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C60E9"/>
    <w:multiLevelType w:val="hybridMultilevel"/>
    <w:tmpl w:val="4D42427C"/>
    <w:lvl w:ilvl="0" w:tplc="FAB22B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olektiv" w:eastAsia="Times New Roman" w:hAnsi="Kolektiv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04833"/>
    <w:multiLevelType w:val="hybridMultilevel"/>
    <w:tmpl w:val="17488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40D34"/>
    <w:multiLevelType w:val="hybridMultilevel"/>
    <w:tmpl w:val="601477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1"/>
  </w:num>
  <w:num w:numId="5">
    <w:abstractNumId w:val="3"/>
  </w:num>
  <w:num w:numId="6">
    <w:abstractNumId w:val="36"/>
  </w:num>
  <w:num w:numId="7">
    <w:abstractNumId w:val="20"/>
  </w:num>
  <w:num w:numId="8">
    <w:abstractNumId w:val="22"/>
  </w:num>
  <w:num w:numId="9">
    <w:abstractNumId w:val="32"/>
  </w:num>
  <w:num w:numId="10">
    <w:abstractNumId w:val="35"/>
  </w:num>
  <w:num w:numId="11">
    <w:abstractNumId w:val="24"/>
  </w:num>
  <w:num w:numId="12">
    <w:abstractNumId w:val="17"/>
  </w:num>
  <w:num w:numId="13">
    <w:abstractNumId w:val="8"/>
  </w:num>
  <w:num w:numId="14">
    <w:abstractNumId w:val="27"/>
  </w:num>
  <w:num w:numId="15">
    <w:abstractNumId w:val="14"/>
  </w:num>
  <w:num w:numId="16">
    <w:abstractNumId w:val="0"/>
  </w:num>
  <w:num w:numId="17">
    <w:abstractNumId w:val="34"/>
  </w:num>
  <w:num w:numId="18">
    <w:abstractNumId w:val="33"/>
  </w:num>
  <w:num w:numId="19">
    <w:abstractNumId w:val="4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39"/>
  </w:num>
  <w:num w:numId="25">
    <w:abstractNumId w:val="6"/>
  </w:num>
  <w:num w:numId="26">
    <w:abstractNumId w:val="23"/>
  </w:num>
  <w:num w:numId="27">
    <w:abstractNumId w:val="18"/>
  </w:num>
  <w:num w:numId="28">
    <w:abstractNumId w:val="25"/>
  </w:num>
  <w:num w:numId="29">
    <w:abstractNumId w:val="2"/>
  </w:num>
  <w:num w:numId="30">
    <w:abstractNumId w:val="5"/>
  </w:num>
  <w:num w:numId="31">
    <w:abstractNumId w:val="12"/>
  </w:num>
  <w:num w:numId="32">
    <w:abstractNumId w:val="15"/>
  </w:num>
  <w:num w:numId="33">
    <w:abstractNumId w:val="29"/>
  </w:num>
  <w:num w:numId="34">
    <w:abstractNumId w:val="38"/>
  </w:num>
  <w:num w:numId="35">
    <w:abstractNumId w:val="26"/>
  </w:num>
  <w:num w:numId="36">
    <w:abstractNumId w:val="10"/>
  </w:num>
  <w:num w:numId="37">
    <w:abstractNumId w:val="19"/>
  </w:num>
  <w:num w:numId="38">
    <w:abstractNumId w:val="21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7"/>
    <w:rsid w:val="00005C56"/>
    <w:rsid w:val="00005E1D"/>
    <w:rsid w:val="00020C38"/>
    <w:rsid w:val="000218C1"/>
    <w:rsid w:val="000654DC"/>
    <w:rsid w:val="00067732"/>
    <w:rsid w:val="00077AD9"/>
    <w:rsid w:val="000810B9"/>
    <w:rsid w:val="000A100E"/>
    <w:rsid w:val="000A3400"/>
    <w:rsid w:val="000A62F9"/>
    <w:rsid w:val="000B2CA0"/>
    <w:rsid w:val="000B52E4"/>
    <w:rsid w:val="000C0304"/>
    <w:rsid w:val="000D069E"/>
    <w:rsid w:val="000D75EE"/>
    <w:rsid w:val="000F10F7"/>
    <w:rsid w:val="000F1870"/>
    <w:rsid w:val="000F272B"/>
    <w:rsid w:val="001373A8"/>
    <w:rsid w:val="00161FCD"/>
    <w:rsid w:val="00166D42"/>
    <w:rsid w:val="001812B4"/>
    <w:rsid w:val="00194C34"/>
    <w:rsid w:val="001A6B9C"/>
    <w:rsid w:val="001A7406"/>
    <w:rsid w:val="001A78F5"/>
    <w:rsid w:val="001C0250"/>
    <w:rsid w:val="001D4950"/>
    <w:rsid w:val="001F70CA"/>
    <w:rsid w:val="00216D1E"/>
    <w:rsid w:val="002320B0"/>
    <w:rsid w:val="00234D7B"/>
    <w:rsid w:val="00244811"/>
    <w:rsid w:val="0025230E"/>
    <w:rsid w:val="00266BC4"/>
    <w:rsid w:val="00266E97"/>
    <w:rsid w:val="002735ED"/>
    <w:rsid w:val="0029372E"/>
    <w:rsid w:val="00295A04"/>
    <w:rsid w:val="002B7CDA"/>
    <w:rsid w:val="002C583D"/>
    <w:rsid w:val="002D0D3B"/>
    <w:rsid w:val="002D7AD9"/>
    <w:rsid w:val="002E0278"/>
    <w:rsid w:val="0032560D"/>
    <w:rsid w:val="00342BD8"/>
    <w:rsid w:val="00347685"/>
    <w:rsid w:val="003476A1"/>
    <w:rsid w:val="00350FBB"/>
    <w:rsid w:val="00365587"/>
    <w:rsid w:val="00376493"/>
    <w:rsid w:val="003812A7"/>
    <w:rsid w:val="003B0CD7"/>
    <w:rsid w:val="003B4CF1"/>
    <w:rsid w:val="003C5F50"/>
    <w:rsid w:val="003D79A7"/>
    <w:rsid w:val="003E3709"/>
    <w:rsid w:val="003E3E47"/>
    <w:rsid w:val="003F39EF"/>
    <w:rsid w:val="003F3A20"/>
    <w:rsid w:val="00424FD3"/>
    <w:rsid w:val="00425992"/>
    <w:rsid w:val="004369E6"/>
    <w:rsid w:val="00443686"/>
    <w:rsid w:val="004876EE"/>
    <w:rsid w:val="00494A49"/>
    <w:rsid w:val="004B706D"/>
    <w:rsid w:val="004C76F5"/>
    <w:rsid w:val="004D48A9"/>
    <w:rsid w:val="004D7346"/>
    <w:rsid w:val="004E30FF"/>
    <w:rsid w:val="004E5EE6"/>
    <w:rsid w:val="004F7268"/>
    <w:rsid w:val="004F7A6C"/>
    <w:rsid w:val="005068E8"/>
    <w:rsid w:val="005142E3"/>
    <w:rsid w:val="00540297"/>
    <w:rsid w:val="005767B3"/>
    <w:rsid w:val="00584861"/>
    <w:rsid w:val="00586940"/>
    <w:rsid w:val="005A1AC8"/>
    <w:rsid w:val="005A7959"/>
    <w:rsid w:val="005B7190"/>
    <w:rsid w:val="005F07DE"/>
    <w:rsid w:val="005F4D6F"/>
    <w:rsid w:val="00610C21"/>
    <w:rsid w:val="00616A66"/>
    <w:rsid w:val="00625E1E"/>
    <w:rsid w:val="006264A1"/>
    <w:rsid w:val="0065297E"/>
    <w:rsid w:val="00665AB5"/>
    <w:rsid w:val="00691977"/>
    <w:rsid w:val="00694F16"/>
    <w:rsid w:val="006A16C4"/>
    <w:rsid w:val="006A4FD1"/>
    <w:rsid w:val="006B135D"/>
    <w:rsid w:val="006B15B6"/>
    <w:rsid w:val="006B1D28"/>
    <w:rsid w:val="006B560C"/>
    <w:rsid w:val="006C6514"/>
    <w:rsid w:val="006E36C5"/>
    <w:rsid w:val="00705F00"/>
    <w:rsid w:val="00725D34"/>
    <w:rsid w:val="00744879"/>
    <w:rsid w:val="00757D78"/>
    <w:rsid w:val="00761830"/>
    <w:rsid w:val="0077272A"/>
    <w:rsid w:val="007854D4"/>
    <w:rsid w:val="00790FC8"/>
    <w:rsid w:val="00791B4C"/>
    <w:rsid w:val="007A1A1F"/>
    <w:rsid w:val="007A2C7A"/>
    <w:rsid w:val="00801F19"/>
    <w:rsid w:val="00807602"/>
    <w:rsid w:val="0082021D"/>
    <w:rsid w:val="00826E98"/>
    <w:rsid w:val="0083573B"/>
    <w:rsid w:val="00841987"/>
    <w:rsid w:val="00842635"/>
    <w:rsid w:val="0086154D"/>
    <w:rsid w:val="00880C13"/>
    <w:rsid w:val="00887FA7"/>
    <w:rsid w:val="00890A7E"/>
    <w:rsid w:val="008A3836"/>
    <w:rsid w:val="008A50D7"/>
    <w:rsid w:val="008B5476"/>
    <w:rsid w:val="008E51CC"/>
    <w:rsid w:val="008F0A8A"/>
    <w:rsid w:val="008F4520"/>
    <w:rsid w:val="0090698E"/>
    <w:rsid w:val="00910D52"/>
    <w:rsid w:val="009308F0"/>
    <w:rsid w:val="00941F38"/>
    <w:rsid w:val="009566AB"/>
    <w:rsid w:val="009616F4"/>
    <w:rsid w:val="009646B4"/>
    <w:rsid w:val="0097675A"/>
    <w:rsid w:val="0097782F"/>
    <w:rsid w:val="009A0E21"/>
    <w:rsid w:val="009A73CA"/>
    <w:rsid w:val="009B296D"/>
    <w:rsid w:val="009C0685"/>
    <w:rsid w:val="009C50AB"/>
    <w:rsid w:val="009D1827"/>
    <w:rsid w:val="009D6D47"/>
    <w:rsid w:val="009E2022"/>
    <w:rsid w:val="009E2A7C"/>
    <w:rsid w:val="009E71A8"/>
    <w:rsid w:val="00A03FCE"/>
    <w:rsid w:val="00A061D0"/>
    <w:rsid w:val="00A15D3B"/>
    <w:rsid w:val="00A365A0"/>
    <w:rsid w:val="00A40C31"/>
    <w:rsid w:val="00A91296"/>
    <w:rsid w:val="00AB6B93"/>
    <w:rsid w:val="00AC74F6"/>
    <w:rsid w:val="00AD231E"/>
    <w:rsid w:val="00AD570E"/>
    <w:rsid w:val="00AE0E16"/>
    <w:rsid w:val="00AE2181"/>
    <w:rsid w:val="00B06F43"/>
    <w:rsid w:val="00B10DC3"/>
    <w:rsid w:val="00B22AD1"/>
    <w:rsid w:val="00B37D2C"/>
    <w:rsid w:val="00B457C9"/>
    <w:rsid w:val="00B55539"/>
    <w:rsid w:val="00B85DCB"/>
    <w:rsid w:val="00BA31C5"/>
    <w:rsid w:val="00BC6F72"/>
    <w:rsid w:val="00BD02E0"/>
    <w:rsid w:val="00C04061"/>
    <w:rsid w:val="00C16E95"/>
    <w:rsid w:val="00C342B9"/>
    <w:rsid w:val="00C41356"/>
    <w:rsid w:val="00C533B0"/>
    <w:rsid w:val="00C5444F"/>
    <w:rsid w:val="00C601DA"/>
    <w:rsid w:val="00C62723"/>
    <w:rsid w:val="00C723C2"/>
    <w:rsid w:val="00C72FDF"/>
    <w:rsid w:val="00C7397E"/>
    <w:rsid w:val="00C92951"/>
    <w:rsid w:val="00CA296B"/>
    <w:rsid w:val="00CC1141"/>
    <w:rsid w:val="00CC1A25"/>
    <w:rsid w:val="00CC2057"/>
    <w:rsid w:val="00CE4574"/>
    <w:rsid w:val="00D40459"/>
    <w:rsid w:val="00D95D5B"/>
    <w:rsid w:val="00DC52D7"/>
    <w:rsid w:val="00E002ED"/>
    <w:rsid w:val="00E66CE1"/>
    <w:rsid w:val="00E844C5"/>
    <w:rsid w:val="00EE69B8"/>
    <w:rsid w:val="00EE6BB4"/>
    <w:rsid w:val="00F25AB3"/>
    <w:rsid w:val="00F355D4"/>
    <w:rsid w:val="00F466B0"/>
    <w:rsid w:val="00F63AE5"/>
    <w:rsid w:val="00F740A1"/>
    <w:rsid w:val="00F94AFF"/>
    <w:rsid w:val="00FB0EBA"/>
    <w:rsid w:val="00FC40F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A819AD"/>
  <w15:docId w15:val="{66E3B0DF-7740-4D84-808D-34C8ACF7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Naslov3">
    <w:name w:val="heading 3"/>
    <w:basedOn w:val="Navaden"/>
    <w:next w:val="Navaden"/>
    <w:qFormat/>
    <w:rsid w:val="00B85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B85DCB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pPr>
      <w:spacing w:after="51"/>
    </w:pPr>
    <w:rPr>
      <w:rFonts w:ascii="Verdana" w:hAnsi="Verdana"/>
      <w:sz w:val="11"/>
      <w:szCs w:val="11"/>
    </w:rPr>
  </w:style>
  <w:style w:type="paragraph" w:styleId="Besedilooblaka">
    <w:name w:val="Balloon Text"/>
    <w:basedOn w:val="Navaden"/>
    <w:semiHidden/>
    <w:rsid w:val="003E3E4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161FCD"/>
    <w:pPr>
      <w:spacing w:after="120"/>
    </w:pPr>
  </w:style>
  <w:style w:type="table" w:styleId="Tabelamrea">
    <w:name w:val="Table Grid"/>
    <w:basedOn w:val="Navadnatabela"/>
    <w:rsid w:val="0035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rsid w:val="00D40459"/>
    <w:pPr>
      <w:spacing w:after="120"/>
      <w:ind w:left="283"/>
    </w:pPr>
  </w:style>
  <w:style w:type="paragraph" w:customStyle="1" w:styleId="ZnakZnakZnak">
    <w:name w:val="Znak Znak Znak"/>
    <w:basedOn w:val="Navaden"/>
    <w:rsid w:val="00D404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darek">
    <w:name w:val="Emphasis"/>
    <w:qFormat/>
    <w:rsid w:val="003D79A7"/>
    <w:rPr>
      <w:i/>
      <w:iCs/>
    </w:rPr>
  </w:style>
  <w:style w:type="character" w:customStyle="1" w:styleId="velikost">
    <w:name w:val="velikost"/>
    <w:basedOn w:val="Privzetapisavaodstavka"/>
    <w:rsid w:val="008F4520"/>
  </w:style>
  <w:style w:type="character" w:styleId="tevilkastrani">
    <w:name w:val="page number"/>
    <w:basedOn w:val="Privzetapisavaodstavka"/>
    <w:rsid w:val="004F7A6C"/>
  </w:style>
  <w:style w:type="paragraph" w:customStyle="1" w:styleId="BodyText21">
    <w:name w:val="Body Text 21"/>
    <w:basedOn w:val="Navaden"/>
    <w:rsid w:val="00842635"/>
    <w:pPr>
      <w:widowControl w:val="0"/>
      <w:jc w:val="both"/>
    </w:pPr>
    <w:rPr>
      <w:snapToGrid w:val="0"/>
      <w:kern w:val="2"/>
      <w:szCs w:val="20"/>
      <w:lang w:eastAsia="en-US"/>
    </w:rPr>
  </w:style>
  <w:style w:type="character" w:customStyle="1" w:styleId="cdata-unit">
    <w:name w:val="cdata-unit"/>
    <w:rsid w:val="009C50AB"/>
  </w:style>
  <w:style w:type="paragraph" w:styleId="Odstavekseznama">
    <w:name w:val="List Paragraph"/>
    <w:basedOn w:val="Navaden"/>
    <w:uiPriority w:val="34"/>
    <w:qFormat/>
    <w:rsid w:val="004876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51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E51CC"/>
    <w:pPr>
      <w:widowControl w:val="0"/>
      <w:autoSpaceDE w:val="0"/>
      <w:autoSpaceDN w:val="0"/>
      <w:spacing w:line="214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0B2CA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0B2C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B2CA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B2C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B2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gzs@kgzs.si" TargetMode="External"/><Relationship Id="rId2" Type="http://schemas.openxmlformats.org/officeDocument/2006/relationships/hyperlink" Target="http://www.kgzs.si" TargetMode="External"/><Relationship Id="rId1" Type="http://schemas.openxmlformats.org/officeDocument/2006/relationships/hyperlink" Target="mailto:kgzs@kgzs.si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6.wmf"/><Relationship Id="rId4" Type="http://schemas.openxmlformats.org/officeDocument/2006/relationships/hyperlink" Target="http://www.kgzs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B9D-32B7-4903-A52B-7B36328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GRADIVO ZA NOVINARJE</vt:lpstr>
    </vt:vector>
  </TitlesOfParts>
  <Company>futurapr</Company>
  <LinksUpToDate>false</LinksUpToDate>
  <CharactersWithSpaces>9263</CharactersWithSpaces>
  <SharedDoc>false</SharedDoc>
  <HLinks>
    <vt:vector size="12" baseType="variant">
      <vt:variant>
        <vt:i4>8192055</vt:i4>
      </vt:variant>
      <vt:variant>
        <vt:i4>6</vt:i4>
      </vt:variant>
      <vt:variant>
        <vt:i4>0</vt:i4>
      </vt:variant>
      <vt:variant>
        <vt:i4>5</vt:i4>
      </vt:variant>
      <vt:variant>
        <vt:lpwstr>http://www.kgzs.si/</vt:lpwstr>
      </vt:variant>
      <vt:variant>
        <vt:lpwstr/>
      </vt:variant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mailto:kgzs@kgzs.si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GRADIVO ZA NOVINARJE</dc:title>
  <dc:creator>user</dc:creator>
  <cp:lastModifiedBy>Robert Peklaj</cp:lastModifiedBy>
  <cp:revision>5</cp:revision>
  <cp:lastPrinted>2021-10-06T08:36:00Z</cp:lastPrinted>
  <dcterms:created xsi:type="dcterms:W3CDTF">2021-11-02T14:23:00Z</dcterms:created>
  <dcterms:modified xsi:type="dcterms:W3CDTF">2021-11-02T21:41:00Z</dcterms:modified>
</cp:coreProperties>
</file>