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176B6" w14:textId="24F78874" w:rsidR="00B70CB6" w:rsidRDefault="000230D3">
      <w:pPr>
        <w:rPr>
          <w:lang w:val="sl-SI"/>
        </w:rPr>
      </w:pPr>
      <w:r>
        <w:rPr>
          <w:lang w:val="sl-SI"/>
        </w:rPr>
        <w:t>PREDLOG</w:t>
      </w:r>
      <w:r w:rsidR="00727715">
        <w:rPr>
          <w:lang w:val="sl-SI"/>
        </w:rPr>
        <w:t xml:space="preserve"> NOVEGA UKREPA IN </w:t>
      </w:r>
      <w:r w:rsidR="006441F5">
        <w:rPr>
          <w:lang w:val="sl-SI"/>
        </w:rPr>
        <w:t xml:space="preserve">SPREMEMBE OBSTOJEČIH </w:t>
      </w:r>
      <w:r>
        <w:rPr>
          <w:lang w:val="sl-SI"/>
        </w:rPr>
        <w:t xml:space="preserve">UKREPOV </w:t>
      </w:r>
      <w:r w:rsidR="006441F5">
        <w:rPr>
          <w:lang w:val="sl-SI"/>
        </w:rPr>
        <w:t>SKP</w:t>
      </w:r>
      <w:r>
        <w:rPr>
          <w:lang w:val="sl-SI"/>
        </w:rPr>
        <w:t>:</w:t>
      </w: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3256"/>
        <w:gridCol w:w="2551"/>
        <w:gridCol w:w="3686"/>
      </w:tblGrid>
      <w:tr w:rsidR="000230D3" w14:paraId="52EA7E0F" w14:textId="77777777" w:rsidTr="000230D3">
        <w:tc>
          <w:tcPr>
            <w:tcW w:w="3256" w:type="dxa"/>
          </w:tcPr>
          <w:p w14:paraId="3316D112" w14:textId="1FED9F3A" w:rsidR="000230D3" w:rsidRDefault="000230D3">
            <w:pPr>
              <w:rPr>
                <w:lang w:val="sl-SI"/>
              </w:rPr>
            </w:pPr>
            <w:r>
              <w:rPr>
                <w:lang w:val="sl-SI"/>
              </w:rPr>
              <w:t>Predlog ukrepa</w:t>
            </w:r>
          </w:p>
        </w:tc>
        <w:tc>
          <w:tcPr>
            <w:tcW w:w="2551" w:type="dxa"/>
          </w:tcPr>
          <w:p w14:paraId="0D5F6C58" w14:textId="05AFE9F8" w:rsidR="000230D3" w:rsidRDefault="000230D3">
            <w:pPr>
              <w:rPr>
                <w:lang w:val="sl-SI"/>
              </w:rPr>
            </w:pPr>
            <w:r>
              <w:rPr>
                <w:lang w:val="sl-SI"/>
              </w:rPr>
              <w:t>Finance</w:t>
            </w:r>
          </w:p>
        </w:tc>
        <w:tc>
          <w:tcPr>
            <w:tcW w:w="3686" w:type="dxa"/>
          </w:tcPr>
          <w:p w14:paraId="20CC266A" w14:textId="41F3DEB5" w:rsidR="000230D3" w:rsidRDefault="000230D3">
            <w:pPr>
              <w:rPr>
                <w:lang w:val="sl-SI"/>
              </w:rPr>
            </w:pPr>
            <w:r>
              <w:rPr>
                <w:lang w:val="sl-SI"/>
              </w:rPr>
              <w:t>Stališče</w:t>
            </w:r>
          </w:p>
        </w:tc>
      </w:tr>
      <w:tr w:rsidR="00727715" w14:paraId="04A0ED51" w14:textId="77777777" w:rsidTr="000230D3">
        <w:tc>
          <w:tcPr>
            <w:tcW w:w="3256" w:type="dxa"/>
          </w:tcPr>
          <w:p w14:paraId="35A5DC80" w14:textId="37D2E673" w:rsidR="00727715" w:rsidRPr="00727715" w:rsidRDefault="00727715" w:rsidP="00727715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V</w:t>
            </w:r>
            <w:r w:rsidRPr="00727715">
              <w:rPr>
                <w:b/>
                <w:bCs/>
                <w:lang w:val="sl-SI"/>
              </w:rPr>
              <w:t>zpostavitev in upravljanje habitatnega pokrova za ptice in opraševalce na njivskih površinah</w:t>
            </w:r>
          </w:p>
          <w:p w14:paraId="4A1AF1AE" w14:textId="0BB555D5" w:rsidR="00727715" w:rsidRPr="001971CC" w:rsidRDefault="001971CC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(1-letni ukrep)</w:t>
            </w:r>
          </w:p>
        </w:tc>
        <w:tc>
          <w:tcPr>
            <w:tcW w:w="2551" w:type="dxa"/>
          </w:tcPr>
          <w:p w14:paraId="06B670FD" w14:textId="53F2E89D" w:rsidR="00727715" w:rsidRDefault="00727715">
            <w:pPr>
              <w:rPr>
                <w:lang w:val="sl-SI"/>
              </w:rPr>
            </w:pPr>
            <w:r>
              <w:rPr>
                <w:lang w:val="sl-SI"/>
              </w:rPr>
              <w:t>SKP</w:t>
            </w:r>
          </w:p>
        </w:tc>
        <w:tc>
          <w:tcPr>
            <w:tcW w:w="3686" w:type="dxa"/>
          </w:tcPr>
          <w:p w14:paraId="2DA1DD11" w14:textId="77777777" w:rsidR="00727715" w:rsidRPr="00727715" w:rsidRDefault="00727715" w:rsidP="00727715">
            <w:pPr>
              <w:rPr>
                <w:u w:val="single"/>
                <w:lang w:val="sl-SI"/>
              </w:rPr>
            </w:pPr>
            <w:r w:rsidRPr="00727715">
              <w:rPr>
                <w:u w:val="single"/>
                <w:lang w:val="sl-SI"/>
              </w:rPr>
              <w:t>Namen ukrepa:</w:t>
            </w:r>
          </w:p>
          <w:p w14:paraId="35AA96E4" w14:textId="77777777" w:rsidR="00727715" w:rsidRPr="00727715" w:rsidRDefault="00727715" w:rsidP="00727715">
            <w:pPr>
              <w:numPr>
                <w:ilvl w:val="0"/>
                <w:numId w:val="2"/>
              </w:numPr>
              <w:rPr>
                <w:lang w:val="sl-SI"/>
              </w:rPr>
            </w:pPr>
            <w:r w:rsidRPr="00727715">
              <w:rPr>
                <w:lang w:val="sl-SI"/>
              </w:rPr>
              <w:t xml:space="preserve">izboljšanje življenjskih pogojev za ptice kmetijske krajine, opraševalce </w:t>
            </w:r>
          </w:p>
          <w:p w14:paraId="6C6B67C4" w14:textId="77777777" w:rsidR="00727715" w:rsidRPr="00727715" w:rsidRDefault="00727715" w:rsidP="00727715">
            <w:pPr>
              <w:numPr>
                <w:ilvl w:val="0"/>
                <w:numId w:val="2"/>
              </w:numPr>
              <w:rPr>
                <w:lang w:val="sl-SI"/>
              </w:rPr>
            </w:pPr>
            <w:r w:rsidRPr="00727715">
              <w:rPr>
                <w:lang w:val="sl-SI"/>
              </w:rPr>
              <w:t>povečanje razpoložljivosti hrane, gnezditvenih in zavetnih habitatov, zmanjšanje negativnih vplivov intenzivne rabe tal.</w:t>
            </w:r>
          </w:p>
          <w:p w14:paraId="6F78BA38" w14:textId="77777777" w:rsidR="00727715" w:rsidRPr="00727715" w:rsidRDefault="00727715" w:rsidP="00727715">
            <w:pPr>
              <w:rPr>
                <w:u w:val="single"/>
                <w:lang w:val="sl-SI"/>
              </w:rPr>
            </w:pPr>
            <w:r w:rsidRPr="00727715">
              <w:rPr>
                <w:u w:val="single"/>
                <w:lang w:val="sl-SI"/>
              </w:rPr>
              <w:t>Upravičene površine:</w:t>
            </w:r>
          </w:p>
          <w:p w14:paraId="058CE577" w14:textId="77777777" w:rsidR="00727715" w:rsidRPr="00727715" w:rsidRDefault="00727715" w:rsidP="00727715">
            <w:pPr>
              <w:numPr>
                <w:ilvl w:val="0"/>
                <w:numId w:val="2"/>
              </w:numPr>
              <w:rPr>
                <w:lang w:val="sl-SI"/>
              </w:rPr>
            </w:pPr>
            <w:r w:rsidRPr="00727715">
              <w:rPr>
                <w:lang w:val="sl-SI"/>
              </w:rPr>
              <w:t>njivske površine na intenzivnih kmetijskih območjih</w:t>
            </w:r>
          </w:p>
          <w:p w14:paraId="094BC819" w14:textId="77777777" w:rsidR="00727715" w:rsidRPr="00727715" w:rsidRDefault="00727715" w:rsidP="00727715">
            <w:pPr>
              <w:rPr>
                <w:u w:val="single"/>
                <w:lang w:val="sl-SI"/>
              </w:rPr>
            </w:pPr>
            <w:r w:rsidRPr="00727715">
              <w:rPr>
                <w:u w:val="single"/>
                <w:lang w:val="sl-SI"/>
              </w:rPr>
              <w:t>Splošne zahteve:</w:t>
            </w:r>
          </w:p>
          <w:p w14:paraId="3B480D99" w14:textId="77777777" w:rsidR="00727715" w:rsidRPr="00727715" w:rsidRDefault="00727715" w:rsidP="00727715">
            <w:pPr>
              <w:numPr>
                <w:ilvl w:val="0"/>
                <w:numId w:val="2"/>
              </w:numPr>
              <w:rPr>
                <w:lang w:val="sl-SI"/>
              </w:rPr>
            </w:pPr>
            <w:r w:rsidRPr="00727715">
              <w:rPr>
                <w:lang w:val="sl-SI"/>
              </w:rPr>
              <w:t>obvezno usposabljanje (</w:t>
            </w:r>
            <w:proofErr w:type="spellStart"/>
            <w:r w:rsidRPr="00727715">
              <w:rPr>
                <w:lang w:val="sl-SI"/>
              </w:rPr>
              <w:t>biodiverziteta</w:t>
            </w:r>
            <w:proofErr w:type="spellEnd"/>
            <w:r w:rsidRPr="00727715">
              <w:rPr>
                <w:lang w:val="sl-SI"/>
              </w:rPr>
              <w:t>, upravljanje habitatov)</w:t>
            </w:r>
          </w:p>
          <w:p w14:paraId="563E67FE" w14:textId="77777777" w:rsidR="00727715" w:rsidRPr="00727715" w:rsidRDefault="00727715" w:rsidP="00727715">
            <w:pPr>
              <w:numPr>
                <w:ilvl w:val="0"/>
                <w:numId w:val="2"/>
              </w:numPr>
              <w:rPr>
                <w:lang w:val="sl-SI"/>
              </w:rPr>
            </w:pPr>
            <w:r w:rsidRPr="00727715">
              <w:rPr>
                <w:lang w:val="sl-SI"/>
              </w:rPr>
              <w:t>vodenje evidenc</w:t>
            </w:r>
          </w:p>
          <w:p w14:paraId="33286B11" w14:textId="77777777" w:rsidR="00727715" w:rsidRPr="00727715" w:rsidRDefault="00727715" w:rsidP="00727715">
            <w:pPr>
              <w:numPr>
                <w:ilvl w:val="0"/>
                <w:numId w:val="2"/>
              </w:numPr>
              <w:rPr>
                <w:lang w:val="sl-SI"/>
              </w:rPr>
            </w:pPr>
            <w:r w:rsidRPr="00727715">
              <w:rPr>
                <w:lang w:val="sl-SI"/>
              </w:rPr>
              <w:t>vključitev najmanjšega deleža ornih površin (npr. 5 %).</w:t>
            </w:r>
          </w:p>
          <w:p w14:paraId="30A04551" w14:textId="77777777" w:rsidR="00727715" w:rsidRPr="00727715" w:rsidRDefault="00727715" w:rsidP="00727715">
            <w:pPr>
              <w:rPr>
                <w:u w:val="single"/>
                <w:lang w:val="sl-SI"/>
              </w:rPr>
            </w:pPr>
            <w:r w:rsidRPr="00727715">
              <w:rPr>
                <w:u w:val="single"/>
                <w:lang w:val="sl-SI"/>
              </w:rPr>
              <w:t>Obveznosti ukrepa:</w:t>
            </w:r>
          </w:p>
          <w:p w14:paraId="0F8FFB9C" w14:textId="77777777" w:rsidR="00727715" w:rsidRPr="00727715" w:rsidRDefault="00727715" w:rsidP="00727715">
            <w:pPr>
              <w:numPr>
                <w:ilvl w:val="0"/>
                <w:numId w:val="3"/>
              </w:numPr>
              <w:rPr>
                <w:lang w:val="sl-SI"/>
              </w:rPr>
            </w:pPr>
            <w:r w:rsidRPr="00727715">
              <w:rPr>
                <w:lang w:val="sl-SI"/>
              </w:rPr>
              <w:t>setev npr. najpozneje do 1. april (spomladanska setev) ali 15. september (jesenska setev)</w:t>
            </w:r>
          </w:p>
          <w:p w14:paraId="21B45894" w14:textId="77777777" w:rsidR="00727715" w:rsidRPr="00727715" w:rsidRDefault="00727715" w:rsidP="00727715">
            <w:pPr>
              <w:numPr>
                <w:ilvl w:val="0"/>
                <w:numId w:val="4"/>
              </w:numPr>
              <w:rPr>
                <w:lang w:val="sl-SI"/>
              </w:rPr>
            </w:pPr>
            <w:r w:rsidRPr="00727715">
              <w:rPr>
                <w:lang w:val="sl-SI"/>
              </w:rPr>
              <w:t>vsaj 5 rastlinskih vrst – cvetenje razporejeno od pomladi do jeseni</w:t>
            </w:r>
          </w:p>
          <w:p w14:paraId="1EB6F57E" w14:textId="77777777" w:rsidR="00727715" w:rsidRPr="00727715" w:rsidRDefault="00727715" w:rsidP="00727715">
            <w:pPr>
              <w:numPr>
                <w:ilvl w:val="0"/>
                <w:numId w:val="4"/>
              </w:numPr>
              <w:rPr>
                <w:lang w:val="sl-SI"/>
              </w:rPr>
            </w:pPr>
            <w:r w:rsidRPr="00727715">
              <w:rPr>
                <w:lang w:val="sl-SI"/>
              </w:rPr>
              <w:t>minimalna površina: 0,05 ha</w:t>
            </w:r>
          </w:p>
          <w:p w14:paraId="6BF4A070" w14:textId="77777777" w:rsidR="00727715" w:rsidRPr="00727715" w:rsidRDefault="00727715" w:rsidP="00727715">
            <w:pPr>
              <w:numPr>
                <w:ilvl w:val="0"/>
                <w:numId w:val="4"/>
              </w:numPr>
              <w:rPr>
                <w:lang w:val="sl-SI"/>
              </w:rPr>
            </w:pPr>
            <w:r w:rsidRPr="00727715">
              <w:rPr>
                <w:lang w:val="sl-SI"/>
              </w:rPr>
              <w:t xml:space="preserve">brez uporabe fitofarmacevtskih sredstev </w:t>
            </w:r>
          </w:p>
          <w:p w14:paraId="22BBD556" w14:textId="77777777" w:rsidR="00727715" w:rsidRPr="00727715" w:rsidRDefault="00727715" w:rsidP="00727715">
            <w:pPr>
              <w:numPr>
                <w:ilvl w:val="0"/>
                <w:numId w:val="4"/>
              </w:numPr>
              <w:rPr>
                <w:lang w:val="sl-SI"/>
              </w:rPr>
            </w:pPr>
            <w:r w:rsidRPr="00727715">
              <w:rPr>
                <w:lang w:val="sl-SI"/>
              </w:rPr>
              <w:t>brez uporabe mineralnih dušičnih gnojil</w:t>
            </w:r>
          </w:p>
          <w:p w14:paraId="1AF40668" w14:textId="77777777" w:rsidR="00727715" w:rsidRPr="00727715" w:rsidRDefault="00727715" w:rsidP="00727715">
            <w:pPr>
              <w:numPr>
                <w:ilvl w:val="0"/>
                <w:numId w:val="4"/>
              </w:numPr>
              <w:rPr>
                <w:lang w:val="sl-SI"/>
              </w:rPr>
            </w:pPr>
            <w:r w:rsidRPr="00727715">
              <w:rPr>
                <w:lang w:val="sl-SI"/>
              </w:rPr>
              <w:t>prepoved mehanskih posegov npr. 1. april – 31. julij (gnezditvena sezona)</w:t>
            </w:r>
          </w:p>
          <w:p w14:paraId="1EA6862C" w14:textId="77777777" w:rsidR="00727715" w:rsidRPr="00727715" w:rsidRDefault="00727715" w:rsidP="00727715">
            <w:pPr>
              <w:numPr>
                <w:ilvl w:val="0"/>
                <w:numId w:val="4"/>
              </w:numPr>
              <w:rPr>
                <w:lang w:val="sl-SI"/>
              </w:rPr>
            </w:pPr>
            <w:r w:rsidRPr="00727715">
              <w:rPr>
                <w:lang w:val="sl-SI"/>
              </w:rPr>
              <w:t>mozaična košnja (npr. 50 % površine), del površine lahko ostane nepokošen čez zimo</w:t>
            </w:r>
          </w:p>
          <w:p w14:paraId="7004C753" w14:textId="37988FF2" w:rsidR="001971CC" w:rsidRPr="00727715" w:rsidRDefault="00727715" w:rsidP="001971CC">
            <w:pPr>
              <w:numPr>
                <w:ilvl w:val="0"/>
                <w:numId w:val="4"/>
              </w:numPr>
              <w:rPr>
                <w:lang w:val="sl-SI"/>
              </w:rPr>
            </w:pPr>
            <w:r w:rsidRPr="00727715">
              <w:rPr>
                <w:lang w:val="sl-SI"/>
              </w:rPr>
              <w:t>prepoved oranja v času trajanja ukrepa</w:t>
            </w:r>
          </w:p>
          <w:p w14:paraId="498E39F0" w14:textId="77777777" w:rsidR="00727715" w:rsidRPr="00727715" w:rsidRDefault="00727715" w:rsidP="00727715">
            <w:pPr>
              <w:rPr>
                <w:u w:val="single"/>
                <w:lang w:val="sl-SI"/>
              </w:rPr>
            </w:pPr>
            <w:r w:rsidRPr="00727715">
              <w:rPr>
                <w:u w:val="single"/>
                <w:lang w:val="sl-SI"/>
              </w:rPr>
              <w:lastRenderedPageBreak/>
              <w:t>Dovoljene rastlinske mešanice:</w:t>
            </w:r>
          </w:p>
          <w:p w14:paraId="7051783D" w14:textId="77777777" w:rsidR="00727715" w:rsidRPr="00727715" w:rsidRDefault="00727715" w:rsidP="00727715">
            <w:pPr>
              <w:rPr>
                <w:lang w:val="sl-SI"/>
              </w:rPr>
            </w:pPr>
            <w:r w:rsidRPr="00727715">
              <w:rPr>
                <w:lang w:val="sl-SI"/>
              </w:rPr>
              <w:t>Obvezna uporaba večvrstnih mešanic, ki vključujejo:</w:t>
            </w:r>
          </w:p>
          <w:p w14:paraId="007EA404" w14:textId="77777777" w:rsidR="00727715" w:rsidRPr="00727715" w:rsidRDefault="00727715" w:rsidP="00727715">
            <w:pPr>
              <w:numPr>
                <w:ilvl w:val="0"/>
                <w:numId w:val="5"/>
              </w:numPr>
              <w:rPr>
                <w:lang w:val="sl-SI"/>
              </w:rPr>
            </w:pPr>
            <w:r w:rsidRPr="00727715">
              <w:rPr>
                <w:lang w:val="sl-SI"/>
              </w:rPr>
              <w:t>Medovite rastline npr. facelija, ajda…</w:t>
            </w:r>
          </w:p>
          <w:p w14:paraId="1566D7A4" w14:textId="77777777" w:rsidR="00727715" w:rsidRPr="00727715" w:rsidRDefault="00727715" w:rsidP="00727715">
            <w:pPr>
              <w:numPr>
                <w:ilvl w:val="0"/>
                <w:numId w:val="5"/>
              </w:numPr>
              <w:rPr>
                <w:lang w:val="sl-SI"/>
              </w:rPr>
            </w:pPr>
            <w:r w:rsidRPr="00727715">
              <w:rPr>
                <w:lang w:val="sl-SI"/>
              </w:rPr>
              <w:t xml:space="preserve">Travno-deteljne mešanice za strukturo in </w:t>
            </w:r>
            <w:proofErr w:type="spellStart"/>
            <w:r w:rsidRPr="00727715">
              <w:rPr>
                <w:lang w:val="sl-SI"/>
              </w:rPr>
              <w:t>pokrovnost</w:t>
            </w:r>
            <w:proofErr w:type="spellEnd"/>
          </w:p>
          <w:p w14:paraId="256B6C2C" w14:textId="77777777" w:rsidR="00727715" w:rsidRPr="00727715" w:rsidRDefault="00727715" w:rsidP="00727715">
            <w:pPr>
              <w:numPr>
                <w:ilvl w:val="0"/>
                <w:numId w:val="5"/>
              </w:numPr>
              <w:rPr>
                <w:lang w:val="sl-SI"/>
              </w:rPr>
            </w:pPr>
            <w:r w:rsidRPr="00727715">
              <w:rPr>
                <w:lang w:val="sl-SI"/>
              </w:rPr>
              <w:t>Semenske vrste za ptice npr. žita, sončnice</w:t>
            </w:r>
          </w:p>
          <w:p w14:paraId="3ED2F77C" w14:textId="77777777" w:rsidR="00727715" w:rsidRDefault="00727715" w:rsidP="004D65A8">
            <w:pPr>
              <w:numPr>
                <w:ilvl w:val="0"/>
                <w:numId w:val="5"/>
              </w:numPr>
              <w:rPr>
                <w:lang w:val="sl-SI"/>
              </w:rPr>
            </w:pPr>
            <w:r w:rsidRPr="00727715">
              <w:rPr>
                <w:lang w:val="sl-SI"/>
              </w:rPr>
              <w:t>…</w:t>
            </w:r>
          </w:p>
          <w:p w14:paraId="7D31B808" w14:textId="77777777" w:rsidR="001971CC" w:rsidRDefault="001971CC" w:rsidP="001971CC">
            <w:pPr>
              <w:rPr>
                <w:lang w:val="sl-SI"/>
              </w:rPr>
            </w:pPr>
          </w:p>
          <w:p w14:paraId="2019460C" w14:textId="114D07CB" w:rsidR="001971CC" w:rsidRPr="001971CC" w:rsidRDefault="001971CC" w:rsidP="001971CC">
            <w:pPr>
              <w:rPr>
                <w:lang w:val="sl-SI"/>
              </w:rPr>
            </w:pPr>
            <w:r w:rsidRPr="001971CC">
              <w:t>Ukrep naj se najprej uvede kot enoletni preizkus; po potrditvi njegove izvedljivosti pa naj sledi ustrezna stimulacija in nagrajevanje.</w:t>
            </w:r>
          </w:p>
        </w:tc>
      </w:tr>
      <w:tr w:rsidR="004D65A8" w14:paraId="400F17D8" w14:textId="77777777" w:rsidTr="000230D3">
        <w:tc>
          <w:tcPr>
            <w:tcW w:w="3256" w:type="dxa"/>
          </w:tcPr>
          <w:p w14:paraId="4070A1F5" w14:textId="77777777" w:rsidR="004D65A8" w:rsidRPr="00727715" w:rsidRDefault="004D65A8">
            <w:pPr>
              <w:rPr>
                <w:b/>
                <w:bCs/>
                <w:lang w:val="sl-SI"/>
              </w:rPr>
            </w:pPr>
            <w:r w:rsidRPr="00727715">
              <w:rPr>
                <w:b/>
                <w:bCs/>
              </w:rPr>
              <w:lastRenderedPageBreak/>
              <w:t>Potreba po uskladitvi hidrografske mre</w:t>
            </w:r>
            <w:r w:rsidRPr="00727715">
              <w:rPr>
                <w:b/>
                <w:bCs/>
                <w:lang w:val="sl-SI"/>
              </w:rPr>
              <w:t>ž</w:t>
            </w:r>
            <w:r w:rsidRPr="00727715">
              <w:rPr>
                <w:b/>
                <w:bCs/>
              </w:rPr>
              <w:t>e z dejanskim stanjem in posledice za</w:t>
            </w:r>
            <w:r w:rsidRPr="00727715">
              <w:rPr>
                <w:b/>
                <w:bCs/>
                <w:lang w:val="sl-SI"/>
              </w:rPr>
              <w:t xml:space="preserve"> </w:t>
            </w:r>
            <w:r w:rsidRPr="00727715">
              <w:rPr>
                <w:b/>
                <w:bCs/>
              </w:rPr>
              <w:t>izvaianje ukrepov Skupne kmetijske politike</w:t>
            </w:r>
            <w:r w:rsidRPr="00727715">
              <w:rPr>
                <w:b/>
                <w:bCs/>
                <w:lang w:val="sl-SI"/>
              </w:rPr>
              <w:t xml:space="preserve"> </w:t>
            </w:r>
          </w:p>
          <w:p w14:paraId="08F2DF38" w14:textId="39735121" w:rsidR="004D65A8" w:rsidRPr="004D65A8" w:rsidRDefault="004D65A8">
            <w:pPr>
              <w:rPr>
                <w:lang w:val="sl-SI"/>
              </w:rPr>
            </w:pPr>
          </w:p>
        </w:tc>
        <w:tc>
          <w:tcPr>
            <w:tcW w:w="2551" w:type="dxa"/>
          </w:tcPr>
          <w:p w14:paraId="686A0BAF" w14:textId="0B5561E6" w:rsidR="004D65A8" w:rsidRDefault="004D65A8">
            <w:pPr>
              <w:rPr>
                <w:lang w:val="sl-SI"/>
              </w:rPr>
            </w:pPr>
          </w:p>
        </w:tc>
        <w:tc>
          <w:tcPr>
            <w:tcW w:w="3686" w:type="dxa"/>
          </w:tcPr>
          <w:p w14:paraId="2C5F10B3" w14:textId="77777777" w:rsidR="004D65A8" w:rsidRDefault="004D65A8" w:rsidP="004D65A8">
            <w:pPr>
              <w:rPr>
                <w:lang w:val="sl-SI"/>
              </w:rPr>
            </w:pPr>
            <w:r w:rsidRPr="004D65A8">
              <w:t>Posebej izpostavljamo dve podro</w:t>
            </w:r>
            <w:r>
              <w:rPr>
                <w:lang w:val="sl-SI"/>
              </w:rPr>
              <w:t>č</w:t>
            </w:r>
            <w:r w:rsidRPr="004D65A8">
              <w:t>ji, kjer je stanje najbolj problemati</w:t>
            </w:r>
            <w:r>
              <w:rPr>
                <w:lang w:val="sl-SI"/>
              </w:rPr>
              <w:t>č</w:t>
            </w:r>
            <w:r w:rsidRPr="004D65A8">
              <w:t xml:space="preserve">no in nujno potrebna uskladitev: </w:t>
            </w:r>
          </w:p>
          <w:p w14:paraId="561080C3" w14:textId="47373775" w:rsidR="004D65A8" w:rsidRPr="00E32AA2" w:rsidRDefault="004D65A8" w:rsidP="004D65A8">
            <w:pPr>
              <w:rPr>
                <w:lang w:val="sl-SI"/>
              </w:rPr>
            </w:pPr>
            <w:r w:rsidRPr="004D65A8">
              <w:t>1. Osu</w:t>
            </w:r>
            <w:r>
              <w:rPr>
                <w:lang w:val="sl-SI"/>
              </w:rPr>
              <w:t>š</w:t>
            </w:r>
            <w:r w:rsidRPr="004D65A8">
              <w:t>evalni jarki, ki so v evidencah vodeni kot vode 2. reda, bi morali biti ustrezno prekategorizirani glede na njihovo dejansko funkcijo, saj se v naravi uporabljajo kot osu</w:t>
            </w:r>
            <w:r>
              <w:rPr>
                <w:lang w:val="sl-SI"/>
              </w:rPr>
              <w:t>š</w:t>
            </w:r>
            <w:r w:rsidRPr="004D65A8">
              <w:t>evalni objekti. S tem bi se tudi zmanj</w:t>
            </w:r>
            <w:r>
              <w:rPr>
                <w:lang w:val="sl-SI"/>
              </w:rPr>
              <w:t>š</w:t>
            </w:r>
            <w:r w:rsidRPr="004D65A8">
              <w:t xml:space="preserve">ala </w:t>
            </w:r>
            <w:r>
              <w:rPr>
                <w:lang w:val="sl-SI"/>
              </w:rPr>
              <w:t>š</w:t>
            </w:r>
            <w:r w:rsidRPr="004D65A8">
              <w:t xml:space="preserve">irina varovalnega pasu </w:t>
            </w:r>
            <w:r w:rsidR="00727715">
              <w:rPr>
                <w:lang w:val="sl-SI"/>
              </w:rPr>
              <w:t>s</w:t>
            </w:r>
            <w:r w:rsidRPr="004D65A8">
              <w:t xml:space="preserve"> 5 na 3 metre, skladno z Uredbo o pravilih pogojenosti</w:t>
            </w:r>
            <w:r w:rsidR="00E32AA2">
              <w:rPr>
                <w:lang w:val="sl-SI"/>
              </w:rPr>
              <w:t>.</w:t>
            </w:r>
          </w:p>
          <w:p w14:paraId="474F1616" w14:textId="2C575C5F" w:rsidR="004D65A8" w:rsidRDefault="004D65A8" w:rsidP="004D65A8">
            <w:pPr>
              <w:rPr>
                <w:lang w:val="sl-SI"/>
              </w:rPr>
            </w:pPr>
            <w:r w:rsidRPr="004D65A8">
              <w:t>2. Neaktivne oziroma suhe vodotoke, ki v naravi ne obstajajo ve</w:t>
            </w:r>
            <w:r>
              <w:rPr>
                <w:lang w:val="sl-SI"/>
              </w:rPr>
              <w:t>č</w:t>
            </w:r>
            <w:r w:rsidRPr="004D65A8">
              <w:t xml:space="preserve"> ali vsebujejo vodo le izjemoma, bi bilo treba izbrisati iz sloja.</w:t>
            </w:r>
            <w:r w:rsidR="00E32AA2">
              <w:rPr>
                <w:lang w:val="sl-SI"/>
              </w:rPr>
              <w:t xml:space="preserve"> </w:t>
            </w:r>
            <w:r w:rsidRPr="004D65A8">
              <w:t>Zgolj navodilo, da naj se jih pri vlogah "ne upo</w:t>
            </w:r>
            <w:r>
              <w:rPr>
                <w:lang w:val="sl-SI"/>
              </w:rPr>
              <w:t>š</w:t>
            </w:r>
            <w:r w:rsidRPr="004D65A8">
              <w:t>teva", ni ustrezno, saj ne re</w:t>
            </w:r>
            <w:r>
              <w:rPr>
                <w:lang w:val="sl-SI"/>
              </w:rPr>
              <w:t>š</w:t>
            </w:r>
            <w:r w:rsidRPr="004D65A8">
              <w:t>uje pravne in administrativne negotovosti, temve</w:t>
            </w:r>
            <w:r>
              <w:rPr>
                <w:lang w:val="sl-SI"/>
              </w:rPr>
              <w:t>č</w:t>
            </w:r>
            <w:r w:rsidRPr="004D65A8">
              <w:t xml:space="preserve"> jo dodatno poglablja</w:t>
            </w:r>
          </w:p>
        </w:tc>
      </w:tr>
      <w:tr w:rsidR="005101BB" w14:paraId="7D6434D3" w14:textId="77777777" w:rsidTr="000230D3">
        <w:tc>
          <w:tcPr>
            <w:tcW w:w="3256" w:type="dxa"/>
          </w:tcPr>
          <w:p w14:paraId="28A10841" w14:textId="77777777" w:rsidR="005101BB" w:rsidRPr="005101BB" w:rsidRDefault="005101BB" w:rsidP="005101BB">
            <w:r w:rsidRPr="005101BB">
              <w:rPr>
                <w:b/>
                <w:bCs/>
              </w:rPr>
              <w:t>Prilagoditev HAB ukrep</w:t>
            </w:r>
            <w:r w:rsidRPr="005101BB">
              <w:rPr>
                <w:b/>
                <w:bCs/>
                <w:lang w:val="sl-SI"/>
              </w:rPr>
              <w:t>a</w:t>
            </w:r>
            <w:r w:rsidRPr="005101BB">
              <w:rPr>
                <w:b/>
                <w:bCs/>
              </w:rPr>
              <w:t xml:space="preserve"> –</w:t>
            </w:r>
            <w:r w:rsidRPr="005101BB">
              <w:t xml:space="preserve"> smiselno je razmisliti o uvedbi določenih HAB intervencij.</w:t>
            </w:r>
          </w:p>
          <w:p w14:paraId="48313AE2" w14:textId="77777777" w:rsidR="005101BB" w:rsidRPr="005101BB" w:rsidRDefault="005101BB" w:rsidP="005101BB">
            <w:r w:rsidRPr="00727715">
              <w:t>Velja naj tudi izven območij Natura 2000 na prostovoljni osnovi. Gnojenje naj ostane</w:t>
            </w:r>
            <w:r>
              <w:rPr>
                <w:lang w:val="sl-SI"/>
              </w:rPr>
              <w:t xml:space="preserve"> </w:t>
            </w:r>
            <w:r w:rsidRPr="00727715">
              <w:t xml:space="preserve">dovoljeno v okviru </w:t>
            </w:r>
            <w:r w:rsidRPr="00727715">
              <w:lastRenderedPageBreak/>
              <w:t>ekstenzivne pridelave. Smiselno je razmisliti o uvedbi dvostopenjskega ukrepa.</w:t>
            </w:r>
          </w:p>
          <w:p w14:paraId="14A06CA6" w14:textId="39B17329" w:rsidR="005101BB" w:rsidRPr="005101BB" w:rsidRDefault="005101BB" w:rsidP="005101BB">
            <w:pPr>
              <w:rPr>
                <w:lang w:val="sl-SI"/>
              </w:rPr>
            </w:pPr>
            <w:r w:rsidRPr="005101BB">
              <w:t>HAB ukrep naj vključuje tudi možnost vzpostavitve naravovarstvene kmetije.</w:t>
            </w:r>
          </w:p>
        </w:tc>
        <w:tc>
          <w:tcPr>
            <w:tcW w:w="2551" w:type="dxa"/>
          </w:tcPr>
          <w:p w14:paraId="6974D134" w14:textId="396BB724" w:rsidR="005101BB" w:rsidRDefault="005101BB">
            <w:pPr>
              <w:rPr>
                <w:lang w:val="sl-SI"/>
              </w:rPr>
            </w:pPr>
            <w:r>
              <w:rPr>
                <w:lang w:val="sl-SI"/>
              </w:rPr>
              <w:lastRenderedPageBreak/>
              <w:t xml:space="preserve"> </w:t>
            </w:r>
          </w:p>
        </w:tc>
        <w:tc>
          <w:tcPr>
            <w:tcW w:w="3686" w:type="dxa"/>
          </w:tcPr>
          <w:p w14:paraId="418A9ADF" w14:textId="77777777" w:rsidR="005101BB" w:rsidRDefault="005101BB" w:rsidP="00062014">
            <w:pPr>
              <w:rPr>
                <w:lang w:val="sl-SI"/>
              </w:rPr>
            </w:pPr>
          </w:p>
        </w:tc>
      </w:tr>
      <w:tr w:rsidR="00C45DB6" w14:paraId="01BDB089" w14:textId="77777777" w:rsidTr="000230D3">
        <w:trPr>
          <w:trHeight w:val="77"/>
        </w:trPr>
        <w:tc>
          <w:tcPr>
            <w:tcW w:w="3256" w:type="dxa"/>
          </w:tcPr>
          <w:p w14:paraId="33F9C840" w14:textId="483315ED" w:rsidR="00C45DB6" w:rsidRPr="001971CC" w:rsidRDefault="00C45DB6" w:rsidP="00C45DB6">
            <w:pPr>
              <w:rPr>
                <w:b/>
                <w:bCs/>
                <w:lang w:val="sl-SI"/>
              </w:rPr>
            </w:pPr>
            <w:r w:rsidRPr="001971CC">
              <w:rPr>
                <w:b/>
                <w:bCs/>
                <w:lang w:val="sl-SI"/>
              </w:rPr>
              <w:t>SKZG n</w:t>
            </w:r>
            <w:r w:rsidRPr="001971CC">
              <w:rPr>
                <w:b/>
                <w:bCs/>
              </w:rPr>
              <w:t>aj prilagodi višino najemnin glede na namen rabe. V primerih, ko je neproizvodnja ključni cilj, naj se omogoči brezplačen najem.</w:t>
            </w:r>
          </w:p>
        </w:tc>
        <w:tc>
          <w:tcPr>
            <w:tcW w:w="2551" w:type="dxa"/>
          </w:tcPr>
          <w:p w14:paraId="10840370" w14:textId="77777777" w:rsidR="00C45DB6" w:rsidRDefault="00C45DB6">
            <w:pPr>
              <w:rPr>
                <w:lang w:val="sl-SI"/>
              </w:rPr>
            </w:pPr>
          </w:p>
        </w:tc>
        <w:tc>
          <w:tcPr>
            <w:tcW w:w="3686" w:type="dxa"/>
          </w:tcPr>
          <w:p w14:paraId="33849E67" w14:textId="4A1EBD5D" w:rsidR="00C45DB6" w:rsidRDefault="001971CC">
            <w:pPr>
              <w:rPr>
                <w:lang w:val="sl-SI"/>
              </w:rPr>
            </w:pPr>
            <w:r w:rsidRPr="001971CC">
              <w:t>Nesprejemljivo je, da je višina najemnine enaka ne glede na namen rabe zemljišč.</w:t>
            </w:r>
          </w:p>
        </w:tc>
      </w:tr>
      <w:tr w:rsidR="00E32AA2" w14:paraId="671D359F" w14:textId="77777777" w:rsidTr="000230D3">
        <w:trPr>
          <w:trHeight w:val="77"/>
        </w:trPr>
        <w:tc>
          <w:tcPr>
            <w:tcW w:w="3256" w:type="dxa"/>
          </w:tcPr>
          <w:p w14:paraId="2E22F7F2" w14:textId="77777777" w:rsidR="00E32AA2" w:rsidRPr="00550A57" w:rsidRDefault="00E32AA2" w:rsidP="00E32AA2">
            <w:pPr>
              <w:rPr>
                <w:lang w:val="sl-SI"/>
              </w:rPr>
            </w:pPr>
            <w:r w:rsidRPr="00550A57">
              <w:rPr>
                <w:b/>
                <w:bCs/>
              </w:rPr>
              <w:t>Ekstenzivna območja:</w:t>
            </w:r>
            <w:r w:rsidRPr="00550A57">
              <w:br/>
              <w:t>Uvesti je treba splošen ukrep za ekstenzivna območja, ki vključuje minimalno obtežbo ter omogoča pašo in gnojenje. Predlaga se omejitev na 5 ha na kmetijo.</w:t>
            </w:r>
            <w:r w:rsidRPr="00550A57">
              <w:br/>
              <w:t>Za namene naravovarstva naj se nameni 5 %, oziroma največ 10 % površin</w:t>
            </w:r>
            <w:r>
              <w:rPr>
                <w:lang w:val="sl-SI"/>
              </w:rPr>
              <w:t>.</w:t>
            </w:r>
          </w:p>
          <w:p w14:paraId="3B0AFBBF" w14:textId="18915C20" w:rsidR="00E32AA2" w:rsidRPr="00E32AA2" w:rsidRDefault="00E32AA2" w:rsidP="00550A57">
            <w:pPr>
              <w:rPr>
                <w:lang w:val="sl-SI"/>
              </w:rPr>
            </w:pPr>
            <w:r w:rsidRPr="00550A57">
              <w:t>Posebnost ukrepa naj bo, da se v primeru izpolnjevanja pogojev nagradi celotno kmetijo, po vzoru dobrih praks iz Švice.</w:t>
            </w:r>
          </w:p>
        </w:tc>
        <w:tc>
          <w:tcPr>
            <w:tcW w:w="2551" w:type="dxa"/>
          </w:tcPr>
          <w:p w14:paraId="2F6899B1" w14:textId="77777777" w:rsidR="00E32AA2" w:rsidRDefault="00E32AA2" w:rsidP="00550A57">
            <w:pPr>
              <w:rPr>
                <w:lang w:val="sl-SI"/>
              </w:rPr>
            </w:pPr>
          </w:p>
        </w:tc>
        <w:tc>
          <w:tcPr>
            <w:tcW w:w="3686" w:type="dxa"/>
          </w:tcPr>
          <w:p w14:paraId="5ADCE3D4" w14:textId="46C81EA2" w:rsidR="00E32AA2" w:rsidRPr="006B54D4" w:rsidRDefault="00E32AA2">
            <w:pPr>
              <w:rPr>
                <w:lang w:val="sl-SI"/>
              </w:rPr>
            </w:pPr>
          </w:p>
        </w:tc>
      </w:tr>
      <w:tr w:rsidR="006B54D4" w14:paraId="6E0B1CE0" w14:textId="77777777" w:rsidTr="000230D3">
        <w:trPr>
          <w:trHeight w:val="77"/>
        </w:trPr>
        <w:tc>
          <w:tcPr>
            <w:tcW w:w="3256" w:type="dxa"/>
          </w:tcPr>
          <w:p w14:paraId="1D6A2B96" w14:textId="1345D8C6" w:rsidR="006B54D4" w:rsidRPr="006B54D4" w:rsidRDefault="006B54D4" w:rsidP="00E32AA2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Ponovna uporaba zaraščenih površin</w:t>
            </w:r>
            <w:r w:rsidR="00714723">
              <w:rPr>
                <w:b/>
                <w:bCs/>
                <w:lang w:val="sl-SI"/>
              </w:rPr>
              <w:t xml:space="preserve"> in vračanje gozdne maske v pridelovalne namene</w:t>
            </w:r>
          </w:p>
        </w:tc>
        <w:tc>
          <w:tcPr>
            <w:tcW w:w="2551" w:type="dxa"/>
          </w:tcPr>
          <w:p w14:paraId="0D16D450" w14:textId="77777777" w:rsidR="006B54D4" w:rsidRDefault="006B54D4" w:rsidP="00550A57">
            <w:pPr>
              <w:rPr>
                <w:lang w:val="sl-SI"/>
              </w:rPr>
            </w:pPr>
          </w:p>
        </w:tc>
        <w:tc>
          <w:tcPr>
            <w:tcW w:w="3686" w:type="dxa"/>
          </w:tcPr>
          <w:p w14:paraId="3FDBCB18" w14:textId="0CB373BB" w:rsidR="006B54D4" w:rsidRPr="006B54D4" w:rsidRDefault="006B54D4">
            <w:pPr>
              <w:rPr>
                <w:lang w:val="sl-SI"/>
              </w:rPr>
            </w:pPr>
            <w:r>
              <w:rPr>
                <w:lang w:val="sl-SI"/>
              </w:rPr>
              <w:t xml:space="preserve">Uvedba drevesno-pašne rabe (tj. </w:t>
            </w:r>
            <w:proofErr w:type="spellStart"/>
            <w:r>
              <w:rPr>
                <w:lang w:val="sl-SI"/>
              </w:rPr>
              <w:t>Agroforestry</w:t>
            </w:r>
            <w:proofErr w:type="spellEnd"/>
            <w:r>
              <w:rPr>
                <w:lang w:val="sl-SI"/>
              </w:rPr>
              <w:t>) in sodelovanje kmetijske in gozdarske stroke.</w:t>
            </w:r>
          </w:p>
        </w:tc>
      </w:tr>
      <w:tr w:rsidR="004D65A8" w14:paraId="49B4AD48" w14:textId="77777777" w:rsidTr="000230D3">
        <w:trPr>
          <w:trHeight w:val="77"/>
        </w:trPr>
        <w:tc>
          <w:tcPr>
            <w:tcW w:w="3256" w:type="dxa"/>
          </w:tcPr>
          <w:p w14:paraId="76B599CB" w14:textId="736BA478" w:rsidR="00550A57" w:rsidRPr="00550A57" w:rsidRDefault="00550A57" w:rsidP="00550A57">
            <w:pPr>
              <w:rPr>
                <w:lang w:val="sl-SI"/>
              </w:rPr>
            </w:pPr>
            <w:r w:rsidRPr="00550A57">
              <w:rPr>
                <w:b/>
                <w:bCs/>
              </w:rPr>
              <w:t>OMD ukrep:</w:t>
            </w:r>
            <w:r w:rsidRPr="00550A57">
              <w:br/>
              <w:t>Smiselno bi bilo razmisliti o segmentaciji OMD ukrepa glede na stopnjo obremenitve</w:t>
            </w:r>
            <w:r>
              <w:t>.</w:t>
            </w:r>
          </w:p>
          <w:p w14:paraId="2FDA08F8" w14:textId="77777777" w:rsidR="00550A57" w:rsidRPr="00550A57" w:rsidRDefault="00550A57" w:rsidP="00550A57">
            <w:r w:rsidRPr="00550A57">
              <w:t>Ob tem naj se uvede dodatno plačilo za kmetije, ki poleg osnovnih zahtev izvajajo še dodatne prakse (npr. naravovarstvene ukrepe, prilagojeno rabo).</w:t>
            </w:r>
          </w:p>
          <w:p w14:paraId="4BB5FD44" w14:textId="253814C8" w:rsidR="004D65A8" w:rsidRPr="0065700E" w:rsidRDefault="00550A57">
            <w:pPr>
              <w:rPr>
                <w:lang w:val="sl-SI"/>
              </w:rPr>
            </w:pPr>
            <w:r w:rsidRPr="00550A57">
              <w:t xml:space="preserve">Pomembno je, da kmetije na teh območjih ne postanejo zgolj naravovarstveno usmerjene, temveč da se </w:t>
            </w:r>
            <w:r w:rsidRPr="00550A57">
              <w:lastRenderedPageBreak/>
              <w:t>ohrani tudi proizvodna funkcija, skladno z usmeritvami SKP.</w:t>
            </w:r>
          </w:p>
        </w:tc>
        <w:tc>
          <w:tcPr>
            <w:tcW w:w="2551" w:type="dxa"/>
          </w:tcPr>
          <w:p w14:paraId="729B3D2C" w14:textId="77777777" w:rsidR="00550A57" w:rsidRPr="00550A57" w:rsidRDefault="00550A57" w:rsidP="00550A57">
            <w:pPr>
              <w:rPr>
                <w:lang w:val="sl-SI"/>
              </w:rPr>
            </w:pPr>
            <w:r>
              <w:rPr>
                <w:lang w:val="sl-SI"/>
              </w:rPr>
              <w:lastRenderedPageBreak/>
              <w:t>Turizem, Kohezija, Okolje, Narava</w:t>
            </w:r>
          </w:p>
          <w:p w14:paraId="02B671E4" w14:textId="3173F87B" w:rsidR="00550A57" w:rsidRDefault="00550A57" w:rsidP="00550A57">
            <w:pPr>
              <w:rPr>
                <w:lang w:val="sl-SI"/>
              </w:rPr>
            </w:pPr>
            <w:r>
              <w:rPr>
                <w:lang w:val="sl-SI"/>
              </w:rPr>
              <w:t>T</w:t>
            </w:r>
            <w:r w:rsidRPr="00550A57">
              <w:t>renutno približno 60 milijonov evrov naj se ustrezno poveča (npr. na 90 milijonov evrov), da se zagotovi učinkovito izvajanje ukrepa.</w:t>
            </w:r>
            <w:r>
              <w:rPr>
                <w:lang w:val="sl-SI"/>
              </w:rPr>
              <w:t xml:space="preserve"> </w:t>
            </w:r>
          </w:p>
          <w:p w14:paraId="1FC1FF02" w14:textId="77777777" w:rsidR="004D65A8" w:rsidRDefault="004D65A8" w:rsidP="00550A57">
            <w:pPr>
              <w:rPr>
                <w:lang w:val="sl-SI"/>
              </w:rPr>
            </w:pPr>
          </w:p>
        </w:tc>
        <w:tc>
          <w:tcPr>
            <w:tcW w:w="3686" w:type="dxa"/>
          </w:tcPr>
          <w:p w14:paraId="4E3BD7CA" w14:textId="77777777" w:rsidR="004D65A8" w:rsidRDefault="00550A57">
            <w:pPr>
              <w:rPr>
                <w:lang w:val="sl-SI"/>
              </w:rPr>
            </w:pPr>
            <w:r w:rsidRPr="001971CC">
              <w:t>Ukrep naj se najprej uvede kot enoletni preizkus; po potrditvi njegove izvedljivosti pa naj sledi ustrezna stimulacija in nagrajevanje.</w:t>
            </w:r>
          </w:p>
          <w:p w14:paraId="660777BF" w14:textId="77777777" w:rsidR="005101BB" w:rsidRDefault="005101BB">
            <w:pPr>
              <w:rPr>
                <w:lang w:val="sl-SI"/>
              </w:rPr>
            </w:pPr>
          </w:p>
          <w:p w14:paraId="7060B961" w14:textId="4789BB7E" w:rsidR="005101BB" w:rsidRPr="005101BB" w:rsidRDefault="005101BB">
            <w:pPr>
              <w:rPr>
                <w:lang w:val="sl-SI"/>
              </w:rPr>
            </w:pPr>
            <w:r w:rsidRPr="00550A57">
              <w:t>Pri tem je ključno, da se sredstva za OMD območja ne zmanjšajo v primerih, ko kmetije ne izvajajo dodatnih 5–10 % naravovarstvenih površin.</w:t>
            </w:r>
          </w:p>
        </w:tc>
      </w:tr>
      <w:tr w:rsidR="004D5CE9" w14:paraId="5D859894" w14:textId="77777777" w:rsidTr="000230D3">
        <w:trPr>
          <w:trHeight w:val="77"/>
        </w:trPr>
        <w:tc>
          <w:tcPr>
            <w:tcW w:w="3256" w:type="dxa"/>
          </w:tcPr>
          <w:p w14:paraId="6E1D3AC3" w14:textId="77777777" w:rsidR="004D5CE9" w:rsidRPr="0065700E" w:rsidRDefault="004D5CE9" w:rsidP="004D5CE9">
            <w:pPr>
              <w:rPr>
                <w:b/>
                <w:bCs/>
                <w:lang w:val="sl-SI"/>
              </w:rPr>
            </w:pPr>
            <w:r w:rsidRPr="0065700E">
              <w:rPr>
                <w:b/>
                <w:bCs/>
                <w:lang w:val="sl-SI"/>
              </w:rPr>
              <w:t>Prilagoditev obstoječih ukrepov SKP:</w:t>
            </w:r>
          </w:p>
          <w:p w14:paraId="7264421F" w14:textId="77777777" w:rsidR="004D5CE9" w:rsidRPr="001971CC" w:rsidRDefault="004D5CE9" w:rsidP="004D5CE9">
            <w:pPr>
              <w:numPr>
                <w:ilvl w:val="0"/>
                <w:numId w:val="6"/>
              </w:numPr>
            </w:pPr>
            <w:r w:rsidRPr="00727715">
              <w:rPr>
                <w:b/>
                <w:bCs/>
              </w:rPr>
              <w:t>TRT ukrep:</w:t>
            </w:r>
            <w:r w:rsidRPr="00727715">
              <w:br/>
              <w:t>Ukrep naj se izvaja preko SOPO sheme, pri čemer je treba odpraviti obstoječo 20-odstotno omejitev (trenutno vključuje le 20 % travnikov).</w:t>
            </w:r>
            <w:r w:rsidRPr="00727715">
              <w:br/>
              <w:t>Poudarek naj bo na ekstenzivnem travinju in ustrezni obremenitvi.</w:t>
            </w:r>
            <w:r w:rsidRPr="00C45DB6">
              <w:rPr>
                <w:lang w:val="sl-SI"/>
              </w:rPr>
              <w:t xml:space="preserve"> </w:t>
            </w:r>
          </w:p>
          <w:p w14:paraId="0B49A610" w14:textId="77777777" w:rsidR="004D5CE9" w:rsidRPr="001971CC" w:rsidRDefault="004D5CE9" w:rsidP="004D5CE9">
            <w:pPr>
              <w:numPr>
                <w:ilvl w:val="0"/>
                <w:numId w:val="6"/>
              </w:numPr>
            </w:pPr>
            <w:r w:rsidRPr="001971CC">
              <w:rPr>
                <w:b/>
                <w:bCs/>
              </w:rPr>
              <w:t>Mejice in praha:</w:t>
            </w:r>
            <w:r w:rsidRPr="001971CC">
              <w:br/>
              <w:t>Zahteva po 4 % mejic in praha (v okviru enoletnih ukrepov) naj ne bo vezana izključno na skupni prag 4 %, temveč naj se obravnava kot samostojen ukrep. Trenutna ureditev, ki omogoča predvsem kombiniranje s praho za doseganje 4 %, ni ustrezna.</w:t>
            </w:r>
          </w:p>
          <w:p w14:paraId="750940DE" w14:textId="77777777" w:rsidR="004D5CE9" w:rsidRPr="004D5CE9" w:rsidRDefault="004D5CE9" w:rsidP="004D5CE9">
            <w:pPr>
              <w:numPr>
                <w:ilvl w:val="0"/>
                <w:numId w:val="6"/>
              </w:numPr>
            </w:pPr>
            <w:r w:rsidRPr="001971CC">
              <w:rPr>
                <w:b/>
                <w:bCs/>
              </w:rPr>
              <w:t>Naknadni posevki in ozelenitev:</w:t>
            </w:r>
            <w:r w:rsidRPr="001971CC">
              <w:br/>
              <w:t>Uvesti je treba bolj fleksibilne datume za setev in izvajanje ukrepov, saj so ti posebej koristni za kmetije, ki niso vključene v KOPOP.</w:t>
            </w:r>
          </w:p>
          <w:p w14:paraId="4708E476" w14:textId="18CFC019" w:rsidR="004D5CE9" w:rsidRPr="004D5CE9" w:rsidRDefault="004D5CE9" w:rsidP="004D5CE9">
            <w:pPr>
              <w:numPr>
                <w:ilvl w:val="0"/>
                <w:numId w:val="6"/>
              </w:numPr>
            </w:pPr>
            <w:r w:rsidRPr="004D5CE9">
              <w:rPr>
                <w:b/>
                <w:bCs/>
              </w:rPr>
              <w:t>BIORA</w:t>
            </w:r>
            <w:r w:rsidRPr="004D5CE9">
              <w:rPr>
                <w:b/>
                <w:bCs/>
                <w:lang w:val="sl-SI"/>
              </w:rPr>
              <w:t>Z</w:t>
            </w:r>
            <w:r w:rsidRPr="004D5CE9">
              <w:rPr>
                <w:b/>
                <w:bCs/>
              </w:rPr>
              <w:t>TN – trajni nasadi:</w:t>
            </w:r>
            <w:r w:rsidRPr="004D5CE9">
              <w:rPr>
                <w:b/>
                <w:bCs/>
                <w:lang w:val="sl-SI"/>
              </w:rPr>
              <w:t xml:space="preserve"> zakaj ne na njivah</w:t>
            </w:r>
            <w:r w:rsidRPr="00550A57">
              <w:br/>
              <w:t xml:space="preserve">Pogoj vzpostavitve cvetočega pasu ni primeren za vse kmetije, saj pogosto ni </w:t>
            </w:r>
            <w:r w:rsidRPr="00550A57">
              <w:lastRenderedPageBreak/>
              <w:t>na voljo dovolj površin ali pa ga zaradi prostorskih omejitev ni mogoče učinkovito vzpostaviti.</w:t>
            </w:r>
          </w:p>
        </w:tc>
        <w:tc>
          <w:tcPr>
            <w:tcW w:w="2551" w:type="dxa"/>
          </w:tcPr>
          <w:p w14:paraId="3B31598F" w14:textId="77777777" w:rsidR="004D5CE9" w:rsidRDefault="004D5CE9" w:rsidP="004D5CE9">
            <w:pPr>
              <w:rPr>
                <w:lang w:val="sl-SI"/>
              </w:rPr>
            </w:pPr>
          </w:p>
        </w:tc>
        <w:tc>
          <w:tcPr>
            <w:tcW w:w="3686" w:type="dxa"/>
          </w:tcPr>
          <w:p w14:paraId="6F45A2DB" w14:textId="77777777" w:rsidR="004D5CE9" w:rsidRPr="001971CC" w:rsidRDefault="004D5CE9" w:rsidP="004D5CE9"/>
        </w:tc>
      </w:tr>
    </w:tbl>
    <w:p w14:paraId="23E46D64" w14:textId="77777777" w:rsidR="000230D3" w:rsidRPr="000230D3" w:rsidRDefault="000230D3">
      <w:pPr>
        <w:rPr>
          <w:lang w:val="sl-SI"/>
        </w:rPr>
      </w:pPr>
    </w:p>
    <w:sectPr w:rsidR="000230D3" w:rsidRPr="000230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54739"/>
    <w:multiLevelType w:val="hybridMultilevel"/>
    <w:tmpl w:val="41FEF8F2"/>
    <w:lvl w:ilvl="0" w:tplc="D88400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62AFA"/>
    <w:multiLevelType w:val="hybridMultilevel"/>
    <w:tmpl w:val="2E3AD666"/>
    <w:lvl w:ilvl="0" w:tplc="A2DC820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1229"/>
    <w:multiLevelType w:val="hybridMultilevel"/>
    <w:tmpl w:val="C4407A7C"/>
    <w:lvl w:ilvl="0" w:tplc="D88400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C20F4"/>
    <w:multiLevelType w:val="multilevel"/>
    <w:tmpl w:val="BA68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B23BC1"/>
    <w:multiLevelType w:val="hybridMultilevel"/>
    <w:tmpl w:val="2020E98A"/>
    <w:lvl w:ilvl="0" w:tplc="D88400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5562F"/>
    <w:multiLevelType w:val="hybridMultilevel"/>
    <w:tmpl w:val="1BF4BEB4"/>
    <w:lvl w:ilvl="0" w:tplc="D88400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741469">
    <w:abstractNumId w:val="1"/>
  </w:num>
  <w:num w:numId="2" w16cid:durableId="1105464828">
    <w:abstractNumId w:val="2"/>
  </w:num>
  <w:num w:numId="3" w16cid:durableId="1935168334">
    <w:abstractNumId w:val="5"/>
  </w:num>
  <w:num w:numId="4" w16cid:durableId="1173227245">
    <w:abstractNumId w:val="4"/>
  </w:num>
  <w:num w:numId="5" w16cid:durableId="1396469372">
    <w:abstractNumId w:val="0"/>
  </w:num>
  <w:num w:numId="6" w16cid:durableId="1595019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D3"/>
    <w:rsid w:val="000230D3"/>
    <w:rsid w:val="00062014"/>
    <w:rsid w:val="00073963"/>
    <w:rsid w:val="0016559F"/>
    <w:rsid w:val="001971CC"/>
    <w:rsid w:val="002866E5"/>
    <w:rsid w:val="0035644C"/>
    <w:rsid w:val="003F17D4"/>
    <w:rsid w:val="00436F72"/>
    <w:rsid w:val="004D5CE9"/>
    <w:rsid w:val="004D65A8"/>
    <w:rsid w:val="005101BB"/>
    <w:rsid w:val="00511426"/>
    <w:rsid w:val="00550A57"/>
    <w:rsid w:val="0059559D"/>
    <w:rsid w:val="006439C8"/>
    <w:rsid w:val="006441F5"/>
    <w:rsid w:val="0065700E"/>
    <w:rsid w:val="006B54D4"/>
    <w:rsid w:val="006F0343"/>
    <w:rsid w:val="00714723"/>
    <w:rsid w:val="00727715"/>
    <w:rsid w:val="007A65ED"/>
    <w:rsid w:val="007D23C6"/>
    <w:rsid w:val="00864632"/>
    <w:rsid w:val="009B7B4A"/>
    <w:rsid w:val="009D399B"/>
    <w:rsid w:val="00A41ECB"/>
    <w:rsid w:val="00B70CB6"/>
    <w:rsid w:val="00C45DB6"/>
    <w:rsid w:val="00C910F6"/>
    <w:rsid w:val="00CC4F17"/>
    <w:rsid w:val="00DB23AC"/>
    <w:rsid w:val="00DC6DDF"/>
    <w:rsid w:val="00E32AA2"/>
    <w:rsid w:val="00E7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59A4"/>
  <w15:chartTrackingRefBased/>
  <w15:docId w15:val="{EDC18E4D-ACB2-412F-93AE-46C80430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23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23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23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23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23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23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23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23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23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23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23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23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230D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230D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230D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230D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230D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230D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23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23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23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23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23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230D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230D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230D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23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230D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230D3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023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550A5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50A5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50A5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50A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50A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Klavdija Strmšek</dc:creator>
  <cp:keywords/>
  <dc:description/>
  <cp:lastModifiedBy>Klavdija Strmšek</cp:lastModifiedBy>
  <cp:revision>3</cp:revision>
  <cp:lastPrinted>2026-04-15T07:52:00Z</cp:lastPrinted>
  <dcterms:created xsi:type="dcterms:W3CDTF">2026-04-15T08:21:00Z</dcterms:created>
  <dcterms:modified xsi:type="dcterms:W3CDTF">2026-04-15T09:53:00Z</dcterms:modified>
</cp:coreProperties>
</file>