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9554"/>
      </w:tblGrid>
      <w:tr w:rsidR="007150C9" w:rsidRPr="007150C9" w:rsidTr="0060200A">
        <w:trPr>
          <w:trHeight w:val="300"/>
        </w:trPr>
        <w:tc>
          <w:tcPr>
            <w:tcW w:w="936" w:type="dxa"/>
            <w:shd w:val="clear" w:color="auto" w:fill="FFFFFF" w:themeFill="background1"/>
          </w:tcPr>
          <w:p w:rsidR="007150C9" w:rsidRPr="007150C9" w:rsidRDefault="007150C9" w:rsidP="007150C9"/>
        </w:tc>
        <w:tc>
          <w:tcPr>
            <w:tcW w:w="9554" w:type="dxa"/>
          </w:tcPr>
          <w:p w:rsidR="007150C9" w:rsidRPr="0060200A" w:rsidRDefault="0060200A" w:rsidP="004B0017">
            <w:pPr>
              <w:jc w:val="center"/>
              <w:rPr>
                <w:b/>
                <w:sz w:val="32"/>
              </w:rPr>
            </w:pPr>
            <w:r w:rsidRPr="0060200A">
              <w:rPr>
                <w:b/>
                <w:sz w:val="32"/>
              </w:rPr>
              <w:t xml:space="preserve">Odgovori na vprašanja </w:t>
            </w:r>
            <w:r w:rsidR="00CA104E" w:rsidRPr="00CA104E">
              <w:rPr>
                <w:b/>
                <w:sz w:val="32"/>
              </w:rPr>
              <w:t>z usposabljanja</w:t>
            </w:r>
            <w:r w:rsidR="004B0017">
              <w:rPr>
                <w:b/>
                <w:sz w:val="32"/>
              </w:rPr>
              <w:t xml:space="preserve"> za EK_N2K_BVR in OMD 26.1.23 </w:t>
            </w:r>
            <w:r w:rsidRPr="0060200A">
              <w:rPr>
                <w:b/>
                <w:sz w:val="32"/>
              </w:rPr>
              <w:t xml:space="preserve">– </w:t>
            </w:r>
            <w:bookmarkStart w:id="0" w:name="_GoBack"/>
            <w:bookmarkEnd w:id="0"/>
            <w:r w:rsidRPr="0060200A">
              <w:rPr>
                <w:b/>
                <w:sz w:val="32"/>
              </w:rPr>
              <w:t>17. 3. 2023</w:t>
            </w:r>
          </w:p>
        </w:tc>
      </w:tr>
      <w:tr w:rsidR="007150C9" w:rsidRPr="007150C9" w:rsidTr="0060200A">
        <w:trPr>
          <w:trHeight w:val="300"/>
        </w:trPr>
        <w:tc>
          <w:tcPr>
            <w:tcW w:w="936" w:type="dxa"/>
            <w:shd w:val="clear" w:color="auto" w:fill="FFFFFF" w:themeFill="background1"/>
          </w:tcPr>
          <w:p w:rsidR="007150C9" w:rsidRPr="007150C9" w:rsidRDefault="007150C9" w:rsidP="007150C9"/>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t>A</w:t>
            </w:r>
            <w:r w:rsidRPr="007150C9">
              <w:t xml:space="preserve">li bodo lahko program zatiranja spremenili ali bodo vezani na to kar bodo </w:t>
            </w:r>
            <w:proofErr w:type="spellStart"/>
            <w:r w:rsidRPr="007150C9">
              <w:t>zavedli</w:t>
            </w:r>
            <w:proofErr w:type="spellEnd"/>
            <w:r w:rsidRPr="007150C9">
              <w:t xml:space="preserve"> (v naslednjih letih do </w:t>
            </w:r>
            <w:proofErr w:type="spellStart"/>
            <w:r w:rsidRPr="007150C9">
              <w:t>koneca</w:t>
            </w:r>
            <w:proofErr w:type="spellEnd"/>
            <w:r w:rsidRPr="007150C9">
              <w:t xml:space="preserve"> februarja)?</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Program bo treba pripraviti vsako leto.</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bodo lastniki površin na tem območju obveščeni glede obveznega režima?</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S strani MKGP bodo seznanjeni z možnostjo vključitve v intervencijo Plačila Natura 2000. Obveščanje kmetov o vzpostaviti režima je naloga ministrstva, pristojnega za naravo.</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je kakšna varovalka, da kmetje ne bi izstopali iz EK in ga prekini in potem spet šli v preusmeritev v EK? Saj so za preusmeritev višja plačila?</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 xml:space="preserve">Če se upravičenci s </w:t>
            </w:r>
            <w:proofErr w:type="spellStart"/>
            <w:r w:rsidRPr="007150C9">
              <w:t>prilagoditivjo</w:t>
            </w:r>
            <w:proofErr w:type="spellEnd"/>
            <w:r w:rsidRPr="007150C9">
              <w:t xml:space="preserve"> ne bodo strinjali, v intervencijo EK v letu 2023 ne bodo mogli vstopiti.</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je Slovenija v celoti območje varovanja ptic kot je bilo v prejšnjem programskem obdobju?- zahteva NS</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Da in ne. Standard kot tak, se pravi varovanje ptic, velja za celo Slovenijo in prva zahteva, obdelava enkrat letno, velja za celo Slovenijo. Ostali dve zahtevi v tem standardu (PZR 3) veljata za območje Natura 2000 - ptice, kar ni cela Slovenija. Pri obeh zahtevah je to jasno zapisano.</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je tukaj že dokončno razjasnjeno, da se obtežba za izračun OMD-ja upošteva le pri rabi 1300 in 1320. Ali se upošteva tudi pri travniškem sadovnjaku (1222).</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Obtežba se upošteva z upoštevanjem GERK, ki imajo rabo 1300, 1320 in 1222.</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Ali se lahko GERK, ki leži na območju NATURA 2000  in sicer pod slojem ekološko </w:t>
            </w:r>
            <w:proofErr w:type="spellStart"/>
            <w:r w:rsidRPr="007150C9">
              <w:t>pomebna</w:t>
            </w:r>
            <w:proofErr w:type="spellEnd"/>
            <w:r w:rsidRPr="007150C9">
              <w:t xml:space="preserve"> območja, lahko vključi v SOPO shemo ekstenzivno travinje?</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Shema ekstenzivno travinje se izvaja na območju celotne RS.</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se lahko kmetija, ki je že vključena v ekološko kmetovanje vključi tudi v intervencijo BVR , npr. za ekstenzivni sadovnjak ali za druge površine?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Da.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se lahko kmetija, vključena v integrirano pridelavo (npr. IVG, IPS) hkrati vključi v BVR ?</w:t>
            </w:r>
            <w:r w:rsidRPr="007150C9">
              <w:br/>
              <w:t xml:space="preserve">Ali je možna kombinacija IVG, IPS z BVR na istem </w:t>
            </w:r>
            <w:proofErr w:type="spellStart"/>
            <w:r w:rsidRPr="007150C9">
              <w:t>GERKu</w:t>
            </w:r>
            <w:proofErr w:type="spellEnd"/>
            <w:r w:rsidRPr="007150C9">
              <w:t xml:space="preserve"> ?</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Da.</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Ali se lahko na istem gospodarstvu izvaja integrirano in ekološko kmetovanje hkrati? Dva različna </w:t>
            </w:r>
            <w:proofErr w:type="spellStart"/>
            <w:r w:rsidRPr="007150C9">
              <w:t>kMGMIDa</w:t>
            </w:r>
            <w:proofErr w:type="spellEnd"/>
            <w:r w:rsidRPr="007150C9">
              <w:t xml:space="preserve">, ampak isto </w:t>
            </w:r>
            <w:proofErr w:type="spellStart"/>
            <w:r w:rsidRPr="007150C9">
              <w:t>gospdarstvo</w:t>
            </w:r>
            <w:proofErr w:type="spellEnd"/>
            <w:r w:rsidRPr="007150C9">
              <w:t>.</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Da. Vendar ne smejo biti iste kulture. </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se lahko uporabljajo tudi ostala FFS, ne samo na osnovi MO ali pripravki za biotično varstvo?</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Da.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se obtežba računa na 0,3 GVŽ travojedih živali na ha trajnega travinja? Niste tako napisali v predstavitvi.</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Povprečna letna obtežba mora biti najmanj 0,3 GVŽ na ha trajnega travinja z zahtevkom za intervencijo EK. Zgornja meja obtežbe je določena z Uredbo 2018/848/EU.</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Ali se pri izračunu obtežbe 0,2 GVŽ/ha trajnega travinje upošteva le trajno travinje, ki je na območju OMD? če </w:t>
            </w:r>
            <w:proofErr w:type="spellStart"/>
            <w:r w:rsidRPr="007150C9">
              <w:t>naprimer</w:t>
            </w:r>
            <w:proofErr w:type="spellEnd"/>
            <w:r w:rsidRPr="007150C9">
              <w:t xml:space="preserve"> kmetija pol travinja nima v OMD-u pol pa?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Pri izračunu obtežbe in preverjanju praga 0,2 GVŽ travojedih živali na trajnem travinju se </w:t>
            </w:r>
            <w:proofErr w:type="spellStart"/>
            <w:r w:rsidRPr="007150C9">
              <w:t>upoštevaja</w:t>
            </w:r>
            <w:proofErr w:type="spellEnd"/>
            <w:r w:rsidRPr="007150C9">
              <w:t xml:space="preserve"> vso trajno travinje na KMG.</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Ali se pri kriteriju nadmorske višine 500m upošteva povprečna nadmorska višina GERKA? Ali ste razmišljali o mehkem prehodu npr. da bi že pri </w:t>
            </w:r>
            <w:proofErr w:type="spellStart"/>
            <w:r w:rsidRPr="007150C9">
              <w:t>nmv</w:t>
            </w:r>
            <w:proofErr w:type="spellEnd"/>
            <w:r w:rsidRPr="007150C9">
              <w:t xml:space="preserve"> 400m bilo dodeljeno določeno število točk?</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Kriterij nadmorske višine se izrazi s povprečno </w:t>
            </w:r>
            <w:proofErr w:type="spellStart"/>
            <w:r w:rsidRPr="007150C9">
              <w:t>nmv</w:t>
            </w:r>
            <w:proofErr w:type="spellEnd"/>
            <w:r w:rsidRPr="007150C9">
              <w:t xml:space="preserve"> na GERK. Nižanje meje </w:t>
            </w:r>
            <w:proofErr w:type="spellStart"/>
            <w:r w:rsidRPr="007150C9">
              <w:t>nmv</w:t>
            </w:r>
            <w:proofErr w:type="spellEnd"/>
            <w:r w:rsidRPr="007150C9">
              <w:t xml:space="preserve"> ni prevideno, saj tam omejitve kmetijske pridelave zaradi klimatskih dejavnikov niso prisotne v  meri, ki opredeljuje gorsko območje oz. OMD. V popravkih točkovanja spomladi 2023 (popravek predvsem zaradi strmin in </w:t>
            </w:r>
            <w:proofErr w:type="spellStart"/>
            <w:r w:rsidRPr="007150C9">
              <w:t>kraškosti</w:t>
            </w:r>
            <w:proofErr w:type="spellEnd"/>
            <w:r w:rsidRPr="007150C9">
              <w:t xml:space="preserve">) pa smo prehod naredili nekoliko blažji na način, da so se točke za </w:t>
            </w:r>
            <w:proofErr w:type="spellStart"/>
            <w:r w:rsidRPr="007150C9">
              <w:t>nmv</w:t>
            </w:r>
            <w:proofErr w:type="spellEnd"/>
            <w:r w:rsidRPr="007150C9">
              <w:t xml:space="preserve"> med 500 in 599 znižale bolj kot pri </w:t>
            </w:r>
            <w:proofErr w:type="spellStart"/>
            <w:r w:rsidRPr="007150C9">
              <w:t>nmv</w:t>
            </w:r>
            <w:proofErr w:type="spellEnd"/>
            <w:r w:rsidRPr="007150C9">
              <w:t xml:space="preserve"> 600 do 799 in 800 do 999.</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se raba 1222, če je sadovnjak zatravljen, ne šteje za trajno travinje in se upošteva pri izračunu GVŽ/ha?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Ne.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Ali se za izračun obremenitve za EK podporo štejejo tudi datumi, ko so živali na planinski paši - to </w:t>
            </w:r>
            <w:proofErr w:type="spellStart"/>
            <w:r w:rsidRPr="007150C9">
              <w:t>pomeni,da</w:t>
            </w:r>
            <w:proofErr w:type="spellEnd"/>
            <w:r w:rsidRPr="007150C9">
              <w:t xml:space="preserve"> bodo obremenitve mnogo nižje - če bodo med temi 5 datumi 3 v času paše na drugem </w:t>
            </w:r>
            <w:proofErr w:type="spellStart"/>
            <w:r w:rsidRPr="007150C9">
              <w:t>MIDu</w:t>
            </w:r>
            <w:proofErr w:type="spellEnd"/>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V obdobju, ko so živali, ki jih je upravičenec vključil v intervencijo EK, na paši na planini oz. skupnem pašniku, se za te živali šteje, da ne zmanjšujejo števila živali na osnovnem KMG.</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Ali so sloji območij Natura, EPO,...iz Naravovarstvenega atlasa ustrezni-enaki, tudi za te kmetijsko </w:t>
            </w:r>
            <w:proofErr w:type="spellStart"/>
            <w:r w:rsidRPr="007150C9">
              <w:t>okoljske</w:t>
            </w:r>
            <w:proofErr w:type="spellEnd"/>
            <w:r w:rsidRPr="007150C9">
              <w:t xml:space="preserve"> ukrepe?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Območja so ena in ista, intervencije, ki se izvajajo na posameznih območjih pa so določena glede na njihov </w:t>
            </w:r>
            <w:proofErr w:type="spellStart"/>
            <w:r w:rsidRPr="007150C9">
              <w:t>namnen</w:t>
            </w:r>
            <w:proofErr w:type="spellEnd"/>
            <w:r w:rsidRPr="007150C9">
              <w:t>.</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ali so sredstva za zatiranje v primerih BVR npr. zatiranje strune v krompirju - </w:t>
            </w:r>
            <w:proofErr w:type="spellStart"/>
            <w:r w:rsidRPr="007150C9">
              <w:t>Naturalis</w:t>
            </w:r>
            <w:proofErr w:type="spellEnd"/>
            <w:r w:rsidRPr="007150C9">
              <w:t xml:space="preserve">, </w:t>
            </w:r>
            <w:proofErr w:type="spellStart"/>
            <w:r w:rsidRPr="007150C9">
              <w:t>Proradix</w:t>
            </w:r>
            <w:proofErr w:type="spellEnd"/>
            <w:r w:rsidRPr="007150C9">
              <w:t xml:space="preserve"> ali Serenade ASO dovoljena tudi v EK kmetijstvu</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Seznam FFS, ki so dovoljena za uporabo v EK kmetijstvu je kot tematski seznam objavljen v Seznamu registriranih FFS (https://spletni2.furs.gov.si/FFS/REGSR/FFS_SeznL.asp?top=1). Seznam se redno posodablja. Pred uporabo lahko pridelovalec ali svetovalec sam preveri ali je FFS dovoljeno za uporabo v EK kmetijstvu. Če FFS vsebuje v EK kmetijstvu dovoljene sestavine, je odgovor da. V nasprotnem primeru je odgovor ne.</w:t>
            </w:r>
            <w:r w:rsidRPr="007150C9">
              <w:br/>
            </w:r>
            <w:r w:rsidRPr="007150C9">
              <w:br/>
              <w:t xml:space="preserve">Konkreten primer: uporaba sredstev </w:t>
            </w:r>
            <w:proofErr w:type="spellStart"/>
            <w:r w:rsidRPr="007150C9">
              <w:t>Naturalis</w:t>
            </w:r>
            <w:proofErr w:type="spellEnd"/>
            <w:r w:rsidRPr="007150C9">
              <w:t xml:space="preserve">, </w:t>
            </w:r>
            <w:proofErr w:type="spellStart"/>
            <w:r w:rsidRPr="007150C9">
              <w:t>Proradix</w:t>
            </w:r>
            <w:proofErr w:type="spellEnd"/>
            <w:r w:rsidRPr="007150C9">
              <w:t xml:space="preserve"> ali Serenade ASO je dovoljena tudi v EK kmetijstvu.</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Ali so/kmetje potem že seznanjeni s temi kontrolami in </w:t>
            </w:r>
            <w:proofErr w:type="spellStart"/>
            <w:r w:rsidRPr="007150C9">
              <w:t>potenicalnimi</w:t>
            </w:r>
            <w:proofErr w:type="spellEnd"/>
            <w:r w:rsidRPr="007150C9">
              <w:t xml:space="preserve"> sankcijami, tudi </w:t>
            </w:r>
            <w:proofErr w:type="spellStart"/>
            <w:r w:rsidRPr="007150C9">
              <w:t>će</w:t>
            </w:r>
            <w:proofErr w:type="spellEnd"/>
            <w:r w:rsidRPr="007150C9">
              <w:t xml:space="preserve"> ne vstopijo v ukrep?</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Obveščanje kmetov o vzpostaviti režima je naloga ministrstva, pristojnega za naravo.</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Ali ti režimi za letos že veljajo, kljub temu da še ni zakonodaje?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Zakonodaja bo, gre za uredbo, ki bo urejala Program upravljanja območij Natura 2000 za obdobje 2023-2027 (PUN).</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BVR- predhodno usposabljanje in uporaba storitve svetovanja. Kako pa je v primeru spremembe nosilca? Bo novi nosilec KMG moral torej izvesti tudi storitev svetovanja, ne le usposabljanje.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Da.</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Če ni GVŽ na </w:t>
            </w:r>
            <w:proofErr w:type="spellStart"/>
            <w:r w:rsidRPr="007150C9">
              <w:t>travinju,pomeni</w:t>
            </w:r>
            <w:proofErr w:type="spellEnd"/>
            <w:r w:rsidRPr="007150C9">
              <w:t xml:space="preserve"> da ni pridelave... izplačila nebi smelo biti... Plačilo je za tiste, ki občutijo omejitve in težavnost pri samem vzdrževanju površin</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Če ni GVŽ na travinju še vedno pomeni, da je treba površine vzdrževati v primernem stanju, zato je plačilo predviden z nižjo vrednostjo točke.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Če prav razumem bo moral biti račun za sredstva naslovljen na kupca, z imenom in priimkom?</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Da.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Če prav razumem, bodo kmetije v OMD, ki imajo </w:t>
            </w:r>
            <w:proofErr w:type="spellStart"/>
            <w:r w:rsidRPr="007150C9">
              <w:t>obremenitepod</w:t>
            </w:r>
            <w:proofErr w:type="spellEnd"/>
            <w:r w:rsidRPr="007150C9">
              <w:t xml:space="preserve"> 0,2 GVŽ/ha </w:t>
            </w:r>
            <w:proofErr w:type="spellStart"/>
            <w:r w:rsidRPr="007150C9">
              <w:t>trav.živali</w:t>
            </w:r>
            <w:proofErr w:type="spellEnd"/>
            <w:r w:rsidRPr="007150C9">
              <w:t xml:space="preserve"> prejele enako, kot tiste z obremenitvijo nad ali enako 2 GVŽ/ha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Ne. Nižje plačilo bodo prejela KMG z obtežbo pod 0,2 GVŽ travojedih živali na trajnem travinju. 2 GVŽ/ha ni pri OMD nobena meja.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Čim prej bi rabili videti TABELO KOMBINACIJ UKREPOV oziroma najvišji možni znesek plačil na površino.</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Za izpolnjevanje zahtev posameznih </w:t>
            </w:r>
            <w:proofErr w:type="spellStart"/>
            <w:r w:rsidRPr="007150C9">
              <w:t>inbtervencij</w:t>
            </w:r>
            <w:proofErr w:type="spellEnd"/>
            <w:r w:rsidRPr="007150C9">
              <w:t xml:space="preserve">, kombinacije niso odločilne, imajo le finančne posledice. Najprej je treba dogovoriti pravila izvajanja. Sicer pa so </w:t>
            </w:r>
            <w:proofErr w:type="spellStart"/>
            <w:r w:rsidRPr="007150C9">
              <w:t>kombinacie</w:t>
            </w:r>
            <w:proofErr w:type="spellEnd"/>
            <w:r w:rsidRPr="007150C9">
              <w:t xml:space="preserve"> priloga k SN 2023-2027. So tudi priloga k uredbi (http://www.pisrs.si/Pis.web/npb/2023-01-0975-p2.pdf).</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Dokler ni e-evidence FFS, kako bo dokazoval uporabo biotičnih </w:t>
            </w:r>
            <w:proofErr w:type="spellStart"/>
            <w:r w:rsidRPr="007150C9">
              <w:t>srdstev</w:t>
            </w:r>
            <w:proofErr w:type="spellEnd"/>
            <w:r w:rsidRPr="007150C9">
              <w:t>?</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Z evidencami o delovnih opravilih, z računom o nakupu in ročnim zapisom v evidenco o uporabi FFS.</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ekološka kmetija, ki v vinogradih za zaščito pred sukačem uporablja metodo konfuzije </w:t>
            </w:r>
            <w:proofErr w:type="spellStart"/>
            <w:r w:rsidRPr="007150C9">
              <w:t>isonet</w:t>
            </w:r>
            <w:proofErr w:type="spellEnd"/>
            <w:r w:rsidRPr="007150C9">
              <w:t xml:space="preserve"> plus bo lahko kombinirala ukrepe EK, KOPOP (konfuzija) in BVR?</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Vse kombinacije so določene v Prilogi 2 Uredbe o plačilih za </w:t>
            </w:r>
            <w:proofErr w:type="spellStart"/>
            <w:r w:rsidRPr="007150C9">
              <w:t>okoljske</w:t>
            </w:r>
            <w:proofErr w:type="spellEnd"/>
            <w:r w:rsidRPr="007150C9">
              <w:t xml:space="preserve"> in podnebne obveznosti, naravne ali druge omejitve ter Natura 2000 iz SN SKP 2023-2027 (http://www.pisrs.si/Pis.web/npb/2023-01-0975-p2.pdf).</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Glede na to, da si v ekološki pridelavi želite čim več sadja in zelenjave, zakaj podpora na enoto površine (ki bo marsikje brez pridelka) in ne na količino pridelka.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Ker plačilo na površino določa 70. člen Uredbe 2021/2015/EU.</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Kaj bo v primeru da med leti na trgu ni biotičnih pripravkov in kmet ne bo mogel izvajati ukrepa. Ali gre za višjo silo ali za </w:t>
            </w:r>
            <w:proofErr w:type="spellStart"/>
            <w:r w:rsidRPr="007150C9">
              <w:t>pekinitev</w:t>
            </w:r>
            <w:proofErr w:type="spellEnd"/>
            <w:r w:rsidRPr="007150C9">
              <w:t xml:space="preserve"> </w:t>
            </w:r>
            <w:proofErr w:type="spellStart"/>
            <w:r w:rsidRPr="007150C9">
              <w:t>obveznnosti</w:t>
            </w:r>
            <w:proofErr w:type="spellEnd"/>
            <w:r w:rsidRPr="007150C9">
              <w:t xml:space="preserve"> iz strani ARSKTRP (ne kmeta).</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Če na trgu ne bo pripravkov, se bo to štelo za višjo silo oz. izjemno okoliščino. Sredstev ne bo treba vračati, sankcij ne bo, obveznost bo tekla naprej. Seveda se plačilo ne bo dodelilo.</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kaj je krajša rastna doba in kdaj? Lani smo imeli pri nas dva meseca čez 30 stopinj brez padavin. Torej je bila naša rastna doba dolga od marec do junij (4 m) in od septembra do oktobra (2 m), to je isto kakor na višini 500 m od aprila do septembra.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Krajša rastna doba je opredeljena s nizkimi temperaturami, ki onemogočajo rast rastlin (trave) in se demonstrira v </w:t>
            </w:r>
            <w:proofErr w:type="spellStart"/>
            <w:r w:rsidRPr="007150C9">
              <w:t>t.i</w:t>
            </w:r>
            <w:proofErr w:type="spellEnd"/>
            <w:r w:rsidRPr="007150C9">
              <w:t>. spomladanskem in jesenskem pragu. V vaši opisani situaciji nizke temperature niso omejitveni dejavnik rasti, pač pa neenakomerna porazdelitev padavin.</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Kaj pa kombinacija- HAB_KOS, natura 2000?</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Za kombinacije velja, da so mogoče, če si zahteve niso tako različne, da jih na isti površini ni mogoče izvajati. Kombinacije HAB in plačil za Naturo 2000 so mogoče, če se izvajajo na različnih območjih in niso v nasprotju s predpisanimi zahtevami za intervencijo Plačila Natura 2000. </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Kaj pa zatiranje žitnega strgača, ki lahko naredi v zelo kratkem času katastrofalno škodo ?</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Za zatiranje žitnega strgača v Sloveniji trenutno nimamo registriranih FFS na osnovi mikroorganizmov, niti ne koristnih domorodnih vrst za namene biotičnega varstva rastlin. Torej, izvajanje intervencije BVR na žitih trenutno ni mogoče.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Kako bo s tistimi, ki so v EK vstopili l.2019. Če bodo obveznost morali izpolnjevati še v l.2023 ali bodo morali izpolnjevati obveznosti iz navzkrižne skladnosti po starem sistemu in hkrati tudi pogojenost.</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Upravičenci, ki so v EK vstopili v letu 2019, se jim obveznosti zaključijo z letom 2023. Če se bodo strinjali s prilagoditvijo obveznosti za ukrep EK iz PRP 2014-2020 na pravni okvir SN 2023-2027, bodo morali izpolnjevati pravila o pogojenosti.</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Kako pa bo s podporo za oddajo mleka v gorskih območjih, tam se še vedno gleda sedež kmetije ali površine, ki jih ta kmetija obdeluje?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Pri plačilu za prirejo mleka v gorskem območju se upošteva razvrstitev KMG v GO (če ima KMG v GO najmanj 50% KZU, je razvrščena v gorsko območje in </w:t>
            </w:r>
            <w:proofErr w:type="spellStart"/>
            <w:r w:rsidRPr="007150C9">
              <w:t>upravilčena</w:t>
            </w:r>
            <w:proofErr w:type="spellEnd"/>
            <w:r w:rsidRPr="007150C9">
              <w:t xml:space="preserve"> do imenovane podpore). Tako je bilo že do sedaj.</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Kako se gleda obtežba za OMD pri agrarni skupnosti.? Ali se obtežba 0,2 gleda le za čas paše na AS?</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V primeru površin AS na planini se obtežba izračuna  iz obrazca zapisnika o </w:t>
            </w:r>
            <w:proofErr w:type="spellStart"/>
            <w:r w:rsidRPr="007150C9">
              <w:t>prigonu</w:t>
            </w:r>
            <w:proofErr w:type="spellEnd"/>
            <w:r w:rsidRPr="007150C9">
              <w:t xml:space="preserve"> živali na pašo na planino in skupni pašnik iz uredbe za izvajanje intervencij za tekoče leto, deli z ugotovljenimi površinami trajnega travinja na planini in če je v tem času ugotovljena obtežba nad 0,2 GVŽ, se plačilo dodeli po višji vrednosti točke.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Kako se obravnava nakup sadik, pri katerih je bilo uporabljeno biotično varstvo, ali se to tudi sofinancira pridelovalcu zelenjave?</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Ne, to se ne sofinancira iz naslova intervencije BVR.</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Kakšne bodo evidence?</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 xml:space="preserve">Gre za evidence o delovnih opravilih, v </w:t>
            </w:r>
            <w:proofErr w:type="spellStart"/>
            <w:r w:rsidRPr="007150C9">
              <w:t>katrere</w:t>
            </w:r>
            <w:proofErr w:type="spellEnd"/>
            <w:r w:rsidRPr="007150C9">
              <w:t xml:space="preserve"> se bodo vpisovala delovna opravila, ki  izhajajo iz predpisanih zahtev.</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Kalkulacija za plačilo EK je narejena na 80% stroškov. To je premalo. Če naročiš malarja, da ti pobeli sobo in ti računa 100 eur, potem mu ne boš plačal 100 eur in ne 80 eur.</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Podpora za intervencijo EK (izvajanje in preusmeritev) znaša 70 % višine podpore, izračunane po modelni kalkulaciji. Odločitev je bila sprejeta ob upoštevanju razpoložljivih sredstev za to intervencijo in predvidenem številu vključenih ha. Sicer pa so podpore za EK znatno višje kot v obdobju 2014-2020.</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Katerim pomanjkljivostim se posvečate pri dopolnitvi modela točkovanja?</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Predvsem strmim nagibom pod 500 m nadmorske višine in kraškemu površju.</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Kdo točno bo izvajal svetovanja ?? TERENCI/ SPECIALISTI ali tretja oseba?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Svetovanje se bo </w:t>
            </w:r>
            <w:proofErr w:type="spellStart"/>
            <w:r w:rsidRPr="007150C9">
              <w:t>iizvedlo</w:t>
            </w:r>
            <w:proofErr w:type="spellEnd"/>
            <w:r w:rsidRPr="007150C9">
              <w:t xml:space="preserve"> v skladu z uredbo, ki bo urejala intervencije izmenjave znanj in prenosa informacij iz SN 2023–2027.</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Kmet vstopi z določeno površino v BVR, tekom leta  pa ne bo potrebno zatiranje (bolezni, škodljivci), kaj v tem primeru?</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Za posamezne kmetijske rastline, s katerimi pridelovalec vstopa v intervencijo BVR, mora imeti predhodno pripravljen in s strani JSZVR potrjen program. Program je pripravljen na osnovi tehnoloških navodil za izvajanje intervencije BVR. V primeru, da v posameznem letu ne bo potrebe po zatiranju škodljivcev in bolezni ter pridelovalec programa BVR ne bo izpolnil, bo to sporočil Agenciji na posebnem obrazcu - https://www.gov.si/assets/organi-v-sestavi/ARSKTRP/SNP/ZV-2023/BVR_Obrazec-za-sporocanje-sprememb-v-zvezi-z-izvajanjem-intervencije-bioticno-varstvo-rastlin.pdf (višja sila oz. izjemna okoliščina). Sredstev ne bo vračal, sankcij ne bo, obveznost bo tekla naprej. Plačila v tem primeru seveda ne bo.</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kmetija ima izračunane povprečne točke na hektar. kako pa se izračuna povprečno število točk OMD če je za lažje računanje 1 ha na OMD, ocenjeno 500 točk in 1 ha v ravnini izven OMD ocenjeno 0 točk</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Povprečno število točk na ha je vedno povprečno število točk za tiste ha, ki so v OMD. Površina KMG izven OMD na povprečne točke ne vpliva.</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Kmetija, ki prekine in nadaljuje ni isto, kot kmetija ki konča in ne nadaljuje. Kmetje ni krivi za prehodno </w:t>
            </w:r>
            <w:proofErr w:type="spellStart"/>
            <w:r w:rsidRPr="007150C9">
              <w:t>obdobje.Tako</w:t>
            </w:r>
            <w:proofErr w:type="spellEnd"/>
            <w:r w:rsidRPr="007150C9">
              <w:t xml:space="preserve"> da argumenti so, da se take </w:t>
            </w:r>
            <w:proofErr w:type="spellStart"/>
            <w:r w:rsidRPr="007150C9">
              <w:t>kemtije</w:t>
            </w:r>
            <w:proofErr w:type="spellEnd"/>
            <w:r w:rsidRPr="007150C9">
              <w:t xml:space="preserve"> ne spremlja po dveh tirih.</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r w:rsidRPr="007150C9">
              <w:t xml:space="preserve">Dvojnega sistema ne bo. Kdor se ne strinja s </w:t>
            </w:r>
            <w:proofErr w:type="spellStart"/>
            <w:r w:rsidRPr="007150C9">
              <w:t>prilagoditivjo</w:t>
            </w:r>
            <w:proofErr w:type="spellEnd"/>
            <w:r w:rsidRPr="007150C9">
              <w:t xml:space="preserve">, mu </w:t>
            </w:r>
            <w:proofErr w:type="spellStart"/>
            <w:r w:rsidRPr="007150C9">
              <w:t>obveznot</w:t>
            </w:r>
            <w:proofErr w:type="spellEnd"/>
            <w:r w:rsidRPr="007150C9">
              <w:t xml:space="preserve"> preneha brez vračila že prejetih sredstev. Kdor pa se s prilagoditvijo strinja, bo svojo obveznost zaključil po pravilih SN 2023-2027.</w:t>
            </w:r>
          </w:p>
        </w:tc>
      </w:tr>
      <w:tr w:rsidR="007150C9" w:rsidRPr="007150C9" w:rsidTr="0060200A">
        <w:trPr>
          <w:trHeight w:val="300"/>
        </w:trPr>
        <w:tc>
          <w:tcPr>
            <w:tcW w:w="936" w:type="dxa"/>
            <w:shd w:val="clear" w:color="auto" w:fill="FFFFFF" w:themeFill="background1"/>
          </w:tcPr>
          <w:p w:rsidR="007150C9" w:rsidRP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proofErr w:type="spellStart"/>
            <w:r w:rsidRPr="007150C9">
              <w:t>kMETOM</w:t>
            </w:r>
            <w:proofErr w:type="spellEnd"/>
            <w:r w:rsidRPr="007150C9">
              <w:t xml:space="preserve"> JE BILO JASNO POVEDANO, DA SE JIM Z LETOM 2022 ZAKLJUČIJO OBVEZNOSTI.</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r w:rsidRPr="007150C9">
              <w:t>Ne, MKGP je vedno razlagalo, da se bodo še trajajoče obveznosti iz PRP 2014-2020 predvidoma zaključile z letom 2022 na podlagi revizijske klavzule iz 48. člena Uredbe 1305/2013/EU. Tekom usklajevanj SN 2023-2027 je Evropska komisija določbe revizijske klavzule razlagala na način, da je treba upravičencem zagotoviti, da prevzete obveznosti izvajajo do njihovega zaključka, to je vseh 5 let.</w:t>
            </w:r>
            <w:r w:rsidRPr="007150C9">
              <w:br/>
              <w:t xml:space="preserve">Rezultat teh usklajevanj je, da imajo upravičenci </w:t>
            </w:r>
            <w:proofErr w:type="spellStart"/>
            <w:r w:rsidRPr="007150C9">
              <w:t>moćnost</w:t>
            </w:r>
            <w:proofErr w:type="spellEnd"/>
            <w:r w:rsidRPr="007150C9">
              <w:t>, da obveznosti za ukrepa KOPOP oz. EK iz PRP 2014-2020 prilagodijo pravnemu okviru SN 2023-2027, sicer jim obveznosti prenehajo brez vračila že prejetih sredstev.</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Kolikokrat bo pridelovalec moral ukrepati in kakšno količino pripravka bo moral uporabiti, da bo zadostil pogojem BVR?</w:t>
            </w:r>
          </w:p>
        </w:tc>
      </w:tr>
      <w:tr w:rsidR="007150C9" w:rsidRPr="007150C9" w:rsidTr="0060200A">
        <w:trPr>
          <w:trHeight w:val="300"/>
        </w:trPr>
        <w:tc>
          <w:tcPr>
            <w:tcW w:w="936" w:type="dxa"/>
            <w:shd w:val="clear" w:color="auto" w:fill="FFFFFF" w:themeFill="background1"/>
          </w:tcPr>
          <w:p w:rsidR="007150C9" w:rsidRDefault="007150C9" w:rsidP="007150C9">
            <w:pPr>
              <w:ind w:left="360"/>
            </w:pPr>
          </w:p>
          <w:p w:rsidR="007150C9" w:rsidRPr="007150C9" w:rsidRDefault="007150C9" w:rsidP="007150C9">
            <w:pPr>
              <w:ind w:left="360"/>
            </w:pPr>
          </w:p>
        </w:tc>
        <w:tc>
          <w:tcPr>
            <w:tcW w:w="9554" w:type="dxa"/>
          </w:tcPr>
          <w:p w:rsidR="007150C9" w:rsidRPr="007150C9" w:rsidRDefault="007150C9" w:rsidP="007150C9">
            <w:r w:rsidRPr="007150C9">
              <w:t>Pridelovalec sledi zahtevam zapisanim v tehnoloških navodilih za izvajanje intervencije BVR  in navodilom proizvajalca.</w:t>
            </w:r>
          </w:p>
        </w:tc>
      </w:tr>
      <w:tr w:rsidR="007150C9" w:rsidRPr="007150C9" w:rsidTr="0060200A">
        <w:trPr>
          <w:trHeight w:val="300"/>
        </w:trPr>
        <w:tc>
          <w:tcPr>
            <w:tcW w:w="936" w:type="dxa"/>
            <w:shd w:val="clear" w:color="auto" w:fill="FFFFFF" w:themeFill="background1"/>
          </w:tcPr>
          <w:p w:rsid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Maksimalno plačilo za KOPOP za poljščine je 600 EUR/ha. Ali se v to plačilo za KOPOP 600 EUR </w:t>
            </w:r>
            <w:proofErr w:type="spellStart"/>
            <w:r w:rsidRPr="007150C9">
              <w:t>štejejio</w:t>
            </w:r>
            <w:proofErr w:type="spellEnd"/>
            <w:r w:rsidRPr="007150C9">
              <w:t xml:space="preserve"> tudi intervencije biotično varstvo, intervencija lokalne sorte? Ali sta ti dve intervenciji pri izplačilih ločeni od KOPOP-a?</w:t>
            </w:r>
          </w:p>
        </w:tc>
      </w:tr>
      <w:tr w:rsidR="007150C9" w:rsidRPr="007150C9" w:rsidTr="0060200A">
        <w:trPr>
          <w:trHeight w:val="300"/>
        </w:trPr>
        <w:tc>
          <w:tcPr>
            <w:tcW w:w="936" w:type="dxa"/>
            <w:shd w:val="clear" w:color="auto" w:fill="FFFFFF" w:themeFill="background1"/>
          </w:tcPr>
          <w:p w:rsidR="007150C9" w:rsidRDefault="007150C9" w:rsidP="007150C9">
            <w:pPr>
              <w:ind w:left="360"/>
            </w:pPr>
          </w:p>
          <w:p w:rsidR="007150C9" w:rsidRPr="007150C9" w:rsidRDefault="007150C9" w:rsidP="007150C9">
            <w:pPr>
              <w:ind w:left="360"/>
            </w:pPr>
          </w:p>
        </w:tc>
        <w:tc>
          <w:tcPr>
            <w:tcW w:w="9554" w:type="dxa"/>
          </w:tcPr>
          <w:p w:rsidR="007150C9" w:rsidRPr="007150C9" w:rsidRDefault="007150C9" w:rsidP="007150C9">
            <w:r w:rsidRPr="007150C9">
              <w:t>Ne, se ne šteje. To so ločene intervencije.</w:t>
            </w:r>
          </w:p>
        </w:tc>
      </w:tr>
      <w:tr w:rsidR="007150C9" w:rsidRPr="007150C9" w:rsidTr="0060200A">
        <w:trPr>
          <w:trHeight w:val="300"/>
        </w:trPr>
        <w:tc>
          <w:tcPr>
            <w:tcW w:w="936" w:type="dxa"/>
            <w:shd w:val="clear" w:color="auto" w:fill="FFFFFF" w:themeFill="background1"/>
          </w:tcPr>
          <w:p w:rsid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Ne se hecat- s temi več letnimi obveznostnimi. Pri EK - še bo nekako šlo... Kako bo pa pri KOPOP-u?? npr. leta 2025 se konča "stara obveznost" KOPOP, ampak bo KOPOP "ZAKLENJEN", kot je bil sedaj (razen VOD in GEN-SOR).. torej so avtomatsko, ti spet na slabšem?</w:t>
            </w:r>
          </w:p>
        </w:tc>
      </w:tr>
      <w:tr w:rsidR="007150C9" w:rsidRPr="007150C9" w:rsidTr="0060200A">
        <w:trPr>
          <w:trHeight w:val="300"/>
        </w:trPr>
        <w:tc>
          <w:tcPr>
            <w:tcW w:w="936" w:type="dxa"/>
            <w:shd w:val="clear" w:color="auto" w:fill="FFFFFF" w:themeFill="background1"/>
          </w:tcPr>
          <w:p w:rsidR="007150C9" w:rsidRDefault="007150C9" w:rsidP="007150C9">
            <w:pPr>
              <w:ind w:left="360"/>
            </w:pPr>
          </w:p>
          <w:p w:rsidR="007150C9" w:rsidRPr="007150C9" w:rsidRDefault="007150C9" w:rsidP="007150C9">
            <w:pPr>
              <w:ind w:left="360"/>
            </w:pPr>
          </w:p>
        </w:tc>
        <w:tc>
          <w:tcPr>
            <w:tcW w:w="9554" w:type="dxa"/>
          </w:tcPr>
          <w:p w:rsidR="007150C9" w:rsidRPr="007150C9" w:rsidRDefault="007150C9" w:rsidP="007150C9">
            <w:r w:rsidRPr="007150C9">
              <w:t>T. i. stara obveznost se konča najpozneje z letom 2024. Tisti, ki se s prilagoditvijo ne bodo strinjali, bodo imeli možnost, da v intervencije KOPOP vstopijo v letu 2024, ko bodo za nove vstope odprte še vse operacije vseh 3 intervencij KOPOP.</w:t>
            </w:r>
            <w:r w:rsidRPr="007150C9">
              <w:br/>
              <w:t>(</w:t>
            </w:r>
            <w:proofErr w:type="spellStart"/>
            <w:r w:rsidRPr="007150C9">
              <w:t>Op.:V</w:t>
            </w:r>
            <w:proofErr w:type="spellEnd"/>
            <w:r w:rsidRPr="007150C9">
              <w:t xml:space="preserve"> času usposabljanja je bil predmet razprave predlog, da v primeru, da se upravičenci s prilagoditvijo ne strinjajo, v istovrstne operacije intervencij KOPOP iz SN 202-2027 ne morejo vstopiti v letih 2023 in 2024). </w:t>
            </w:r>
          </w:p>
        </w:tc>
      </w:tr>
      <w:tr w:rsidR="007150C9" w:rsidRPr="007150C9" w:rsidTr="0060200A">
        <w:trPr>
          <w:trHeight w:val="300"/>
        </w:trPr>
        <w:tc>
          <w:tcPr>
            <w:tcW w:w="936" w:type="dxa"/>
            <w:shd w:val="clear" w:color="auto" w:fill="FFFFFF" w:themeFill="background1"/>
          </w:tcPr>
          <w:p w:rsidR="007150C9" w:rsidRDefault="007150C9" w:rsidP="007150C9">
            <w:pPr>
              <w:ind w:left="360"/>
            </w:pPr>
          </w:p>
        </w:tc>
        <w:tc>
          <w:tcPr>
            <w:tcW w:w="9554" w:type="dxa"/>
          </w:tcPr>
          <w:p w:rsidR="007150C9" w:rsidRPr="007150C9" w:rsidRDefault="007150C9"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OMD- KMG ima 5ha trajnih nasadov in 5 arov travinja. KMG nima živali. A to pomeni da zaradi 5 arov travinja zapade pod nižje plačilo?</w:t>
            </w:r>
          </w:p>
        </w:tc>
      </w:tr>
      <w:tr w:rsidR="007150C9" w:rsidRPr="007150C9" w:rsidTr="0060200A">
        <w:trPr>
          <w:trHeight w:val="300"/>
        </w:trPr>
        <w:tc>
          <w:tcPr>
            <w:tcW w:w="936" w:type="dxa"/>
            <w:shd w:val="clear" w:color="auto" w:fill="FFFFFF" w:themeFill="background1"/>
          </w:tcPr>
          <w:p w:rsidR="007150C9" w:rsidRDefault="007150C9" w:rsidP="007150C9">
            <w:pPr>
              <w:ind w:left="360"/>
            </w:pPr>
          </w:p>
          <w:p w:rsidR="007150C9" w:rsidRPr="007150C9" w:rsidRDefault="007150C9" w:rsidP="007150C9">
            <w:pPr>
              <w:ind w:left="360"/>
            </w:pPr>
          </w:p>
        </w:tc>
        <w:tc>
          <w:tcPr>
            <w:tcW w:w="9554" w:type="dxa"/>
          </w:tcPr>
          <w:p w:rsidR="007150C9" w:rsidRPr="007150C9" w:rsidRDefault="007150C9" w:rsidP="007150C9">
            <w:r w:rsidRPr="007150C9">
              <w:t>V navedenem primeru bo nižje plačilo le za 5 arov travinja.</w:t>
            </w:r>
          </w:p>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Po katerem kriteriju so izbrana območja Goričko, LJ barje, Planinsko polje? Kaj pa površine npr. na območju Bele krajine, ki sodijo v Naturo 2000? Krajinski park Kolpa/Lahinja...?</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 xml:space="preserve">Vključena so območja, kjer je stanje </w:t>
            </w:r>
            <w:proofErr w:type="spellStart"/>
            <w:r w:rsidRPr="007150C9">
              <w:t>ohranjensoti</w:t>
            </w:r>
            <w:proofErr w:type="spellEnd"/>
            <w:r w:rsidRPr="007150C9">
              <w:t xml:space="preserve"> habitatnih tipov in vrst najslabše in so tudi predmet uradnega opomina Evropske komisije zaradi neizpolnjevanja zahtev iz Habitatne in Ptičje direktive.</w:t>
            </w:r>
          </w:p>
        </w:tc>
      </w:tr>
      <w:tr w:rsidR="0060200A" w:rsidRPr="007150C9" w:rsidTr="0060200A">
        <w:trPr>
          <w:trHeight w:val="300"/>
        </w:trPr>
        <w:tc>
          <w:tcPr>
            <w:tcW w:w="936" w:type="dxa"/>
            <w:shd w:val="clear" w:color="auto" w:fill="FFFFFF" w:themeFill="background1"/>
          </w:tcPr>
          <w:p w:rsidR="0060200A"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Potem Natura 2000 plačila niso prostovoljna, če imajo kmetije določen način obdelave in sankcije tudi če se ne vključijo.</w:t>
            </w:r>
          </w:p>
        </w:tc>
      </w:tr>
      <w:tr w:rsidR="007150C9" w:rsidRPr="007150C9" w:rsidTr="0060200A">
        <w:trPr>
          <w:trHeight w:val="300"/>
        </w:trPr>
        <w:tc>
          <w:tcPr>
            <w:tcW w:w="936" w:type="dxa"/>
            <w:shd w:val="clear" w:color="auto" w:fill="FFFFFF" w:themeFill="background1"/>
          </w:tcPr>
          <w:p w:rsidR="007150C9" w:rsidRPr="007150C9" w:rsidRDefault="007150C9" w:rsidP="0060200A"/>
        </w:tc>
        <w:tc>
          <w:tcPr>
            <w:tcW w:w="9554" w:type="dxa"/>
          </w:tcPr>
          <w:p w:rsidR="007150C9" w:rsidRPr="007150C9" w:rsidRDefault="007150C9" w:rsidP="007150C9">
            <w:r w:rsidRPr="007150C9">
              <w:t>Gre za dve ločeni zadevi: ena je uvedba režima, ki ga bodo morali kmeti na zadevnih območjih spoštovati, druga zadeva pa je intervencija Plačila Natura 2000 iz SN 2023-2027. Vstop v to intervencijo je prostovoljen, ker se kmeti sami odločijo ali želijo pridobiti plačilo zaradi uvedenega režima ali ne.</w:t>
            </w:r>
          </w:p>
        </w:tc>
      </w:tr>
      <w:tr w:rsidR="0060200A" w:rsidRPr="007150C9" w:rsidTr="0060200A">
        <w:trPr>
          <w:trHeight w:val="300"/>
        </w:trPr>
        <w:tc>
          <w:tcPr>
            <w:tcW w:w="936" w:type="dxa"/>
            <w:shd w:val="clear" w:color="auto" w:fill="FFFFFF" w:themeFill="background1"/>
          </w:tcPr>
          <w:p w:rsidR="0060200A" w:rsidRPr="007150C9" w:rsidRDefault="0060200A" w:rsidP="0060200A"/>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Povprečna obtežba za govedo bo izračunana na 5 datumov, tudi v tem primeru bo vplivala odsotnost živine zaradi planinske paše, in lahko pade pod 0,2 GVŽ/ha</w:t>
            </w:r>
          </w:p>
        </w:tc>
      </w:tr>
      <w:tr w:rsidR="007150C9" w:rsidRPr="007150C9" w:rsidTr="0060200A">
        <w:trPr>
          <w:trHeight w:val="300"/>
        </w:trPr>
        <w:tc>
          <w:tcPr>
            <w:tcW w:w="936" w:type="dxa"/>
            <w:shd w:val="clear" w:color="auto" w:fill="FFFFFF" w:themeFill="background1"/>
          </w:tcPr>
          <w:p w:rsidR="007150C9" w:rsidRPr="007150C9" w:rsidRDefault="007150C9" w:rsidP="0060200A"/>
        </w:tc>
        <w:tc>
          <w:tcPr>
            <w:tcW w:w="9554" w:type="dxa"/>
          </w:tcPr>
          <w:p w:rsidR="007150C9" w:rsidRPr="007150C9" w:rsidRDefault="007150C9" w:rsidP="007150C9">
            <w:r w:rsidRPr="007150C9">
              <w:t>V obdobju, ko so živali, ki jih je upravičenec vključil v intervenciji KOPOP_BK in EK, na paši na planini oziroma skupnem pašniku, se za te živali šteje, da ne zmanjšujejo števila živali na osnovnem KMG.</w:t>
            </w:r>
          </w:p>
        </w:tc>
      </w:tr>
      <w:tr w:rsidR="0060200A" w:rsidRPr="007150C9" w:rsidTr="0060200A">
        <w:trPr>
          <w:trHeight w:val="300"/>
        </w:trPr>
        <w:tc>
          <w:tcPr>
            <w:tcW w:w="936" w:type="dxa"/>
            <w:shd w:val="clear" w:color="auto" w:fill="FFFFFF" w:themeFill="background1"/>
          </w:tcPr>
          <w:p w:rsidR="0060200A" w:rsidRPr="007150C9" w:rsidRDefault="0060200A" w:rsidP="0060200A"/>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Pozdravljeni, še enkrat bi prosil za pojasnilo glede minimalne obtežbe za planine. Bo res zadostovalo, da bo planina upravičena do višjega plačila kljub temu, da ne bo zagotavljala minimalne obtežbe čez celo leto? Hvala za odgovor.</w:t>
            </w:r>
          </w:p>
        </w:tc>
      </w:tr>
      <w:tr w:rsidR="007150C9" w:rsidRPr="007150C9" w:rsidTr="0060200A">
        <w:trPr>
          <w:trHeight w:val="300"/>
        </w:trPr>
        <w:tc>
          <w:tcPr>
            <w:tcW w:w="936" w:type="dxa"/>
            <w:shd w:val="clear" w:color="auto" w:fill="FFFFFF" w:themeFill="background1"/>
          </w:tcPr>
          <w:p w:rsidR="007150C9" w:rsidRPr="007150C9" w:rsidRDefault="007150C9" w:rsidP="0060200A"/>
        </w:tc>
        <w:tc>
          <w:tcPr>
            <w:tcW w:w="9554" w:type="dxa"/>
          </w:tcPr>
          <w:p w:rsidR="007150C9" w:rsidRPr="007150C9" w:rsidRDefault="007150C9" w:rsidP="007150C9">
            <w:r w:rsidRPr="007150C9">
              <w:t xml:space="preserve">V primeru planine se obtežba izračuna  iz obrazca zapisnika o </w:t>
            </w:r>
            <w:proofErr w:type="spellStart"/>
            <w:r w:rsidRPr="007150C9">
              <w:t>prigonu</w:t>
            </w:r>
            <w:proofErr w:type="spellEnd"/>
            <w:r w:rsidRPr="007150C9">
              <w:t xml:space="preserve"> živali na pašo na planino in skupni pašnik iz uredbe za izvajanje intervencij za tekoče leto, deli z ugotovljenimi površinami trajnega travinja na planini.</w:t>
            </w:r>
          </w:p>
        </w:tc>
      </w:tr>
      <w:tr w:rsidR="0060200A" w:rsidRPr="007150C9" w:rsidTr="0060200A">
        <w:trPr>
          <w:trHeight w:val="300"/>
        </w:trPr>
        <w:tc>
          <w:tcPr>
            <w:tcW w:w="936" w:type="dxa"/>
            <w:shd w:val="clear" w:color="auto" w:fill="FFFFFF" w:themeFill="background1"/>
          </w:tcPr>
          <w:p w:rsidR="0060200A" w:rsidRPr="007150C9" w:rsidRDefault="0060200A" w:rsidP="0060200A"/>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Prav lani so bili 3 datumi v času paše : 9.5., 25.6. in 14.9. - komentar</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Analiza lanskih datumov in planinske paše je pokazala, da se v obdobju planinske paše znajdeta praviloma dva datuma ali manj.</w:t>
            </w:r>
          </w:p>
        </w:tc>
      </w:tr>
      <w:tr w:rsidR="0060200A" w:rsidRPr="007150C9" w:rsidTr="0060200A">
        <w:trPr>
          <w:trHeight w:val="300"/>
        </w:trPr>
        <w:tc>
          <w:tcPr>
            <w:tcW w:w="936" w:type="dxa"/>
            <w:shd w:val="clear" w:color="auto" w:fill="FFFFFF" w:themeFill="background1"/>
          </w:tcPr>
          <w:p w:rsidR="0060200A" w:rsidRPr="007150C9"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Pravzaprav je dobro, da nimamo vseh odgovorov, ker je so se tekom razprave pokažejo nove zadeve, ki niso dodelane in jih je še možno </w:t>
            </w:r>
            <w:proofErr w:type="spellStart"/>
            <w:r w:rsidRPr="007150C9">
              <w:t>korogirati</w:t>
            </w:r>
            <w:proofErr w:type="spellEnd"/>
            <w:r w:rsidRPr="007150C9">
              <w:t xml:space="preserve"> (npr. izračun obtežbe planine)</w:t>
            </w:r>
          </w:p>
        </w:tc>
      </w:tr>
      <w:tr w:rsidR="007150C9" w:rsidRPr="007150C9" w:rsidTr="0060200A">
        <w:trPr>
          <w:trHeight w:val="300"/>
        </w:trPr>
        <w:tc>
          <w:tcPr>
            <w:tcW w:w="936" w:type="dxa"/>
            <w:shd w:val="clear" w:color="auto" w:fill="FFFFFF" w:themeFill="background1"/>
          </w:tcPr>
          <w:p w:rsidR="007150C9" w:rsidRPr="007150C9" w:rsidRDefault="007150C9" w:rsidP="0060200A">
            <w:pPr>
              <w:ind w:left="360"/>
            </w:pPr>
          </w:p>
        </w:tc>
        <w:tc>
          <w:tcPr>
            <w:tcW w:w="9554" w:type="dxa"/>
          </w:tcPr>
          <w:p w:rsidR="007150C9" w:rsidRPr="007150C9" w:rsidRDefault="007150C9" w:rsidP="007150C9">
            <w:r w:rsidRPr="007150C9">
              <w:t>Tako je. To je pravi pristop konstruktivnega sodelovanja. Hvala.</w:t>
            </w:r>
          </w:p>
        </w:tc>
      </w:tr>
      <w:tr w:rsidR="0060200A" w:rsidRPr="007150C9" w:rsidTr="0060200A">
        <w:trPr>
          <w:trHeight w:val="300"/>
        </w:trPr>
        <w:tc>
          <w:tcPr>
            <w:tcW w:w="936" w:type="dxa"/>
            <w:shd w:val="clear" w:color="auto" w:fill="FFFFFF" w:themeFill="background1"/>
          </w:tcPr>
          <w:p w:rsidR="0060200A" w:rsidRPr="007150C9"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Si bodo lahko pridelovalci pripravke na podlagi domorodnih koristnih organizmov le-te med seboj delili? Ponudniki koristnih organizmov le-te ponujajo v </w:t>
            </w:r>
            <w:proofErr w:type="spellStart"/>
            <w:r w:rsidRPr="007150C9">
              <w:t>vleikem</w:t>
            </w:r>
            <w:proofErr w:type="spellEnd"/>
            <w:r w:rsidRPr="007150C9">
              <w:t xml:space="preserve"> številu (prevelikem za enega uporabnika). V praksi je bilo npr. tako, da je </w:t>
            </w:r>
            <w:proofErr w:type="spellStart"/>
            <w:r w:rsidRPr="007150C9">
              <w:t>ededn</w:t>
            </w:r>
            <w:proofErr w:type="spellEnd"/>
            <w:r w:rsidRPr="007150C9">
              <w:t xml:space="preserve"> pridelovalec pripravek nabavil in ga delil z </w:t>
            </w:r>
            <w:proofErr w:type="spellStart"/>
            <w:r w:rsidRPr="007150C9">
              <w:t>enimali</w:t>
            </w:r>
            <w:proofErr w:type="spellEnd"/>
            <w:r w:rsidRPr="007150C9">
              <w:t xml:space="preserve"> več drugimi pridelovalci (stroške za nakup so delili). Bo to mogoče tudi v prihodnje (zaradi dokazovanja nakupa)?</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 xml:space="preserve">Ponudniki biotičnih agensov se tudi prilagajajo povpraševanju in povečuje se tudi ponudba različno velikih pakiranj. Skupni nakup domorodnih koristnih organizmov je možen, a morajo imeti pridelovalci, ki so si pakiranje </w:t>
            </w:r>
            <w:proofErr w:type="spellStart"/>
            <w:r w:rsidRPr="007150C9">
              <w:t>razdelil,i</w:t>
            </w:r>
            <w:proofErr w:type="spellEnd"/>
            <w:r w:rsidRPr="007150C9">
              <w:t xml:space="preserve"> shranjene kopije računa. Iz evidenc o uporabi FFS, kamor se vpisuje tudi uporaba koristnih organizmov, pa mora biti razvidno, da so si pakiranje razdelili. Praktična delitev pakiranja je v nekaterih primerih težje izvedljiva (težko razdeliš gibljive stadije koristnih organizmov iz enega pakiranja). </w:t>
            </w:r>
          </w:p>
        </w:tc>
      </w:tr>
      <w:tr w:rsidR="0060200A" w:rsidRPr="007150C9" w:rsidTr="0060200A">
        <w:trPr>
          <w:trHeight w:val="300"/>
        </w:trPr>
        <w:tc>
          <w:tcPr>
            <w:tcW w:w="936" w:type="dxa"/>
            <w:shd w:val="clear" w:color="auto" w:fill="FFFFFF" w:themeFill="background1"/>
          </w:tcPr>
          <w:p w:rsidR="0060200A"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Še enkrat vprašanje, o katerem smo že govorili,. Na </w:t>
            </w:r>
            <w:proofErr w:type="spellStart"/>
            <w:r w:rsidRPr="007150C9">
              <w:t>Gerk</w:t>
            </w:r>
            <w:proofErr w:type="spellEnd"/>
            <w:r w:rsidRPr="007150C9">
              <w:t xml:space="preserve"> pregledovalniku so že vidni kontrolni sloji, tudi Natura 2000 ptice. območja so velika. Kako bomo kmetom razložili, da na teh območjih ne smejo pridelovati abesinske gizotije in </w:t>
            </w:r>
            <w:proofErr w:type="spellStart"/>
            <w:r w:rsidRPr="007150C9">
              <w:t>aronje</w:t>
            </w:r>
            <w:proofErr w:type="spellEnd"/>
            <w:r w:rsidRPr="007150C9">
              <w:t>?</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Gre za PZR 3. Pojasnilo stroke je, da sta abesinska gizotija in aronija potencialno invazivni vrsti - ob množični saditvi rastlini lahko postaneta invazivni.</w:t>
            </w:r>
            <w:r w:rsidRPr="007150C9">
              <w:br/>
              <w:t>Kmetom se obrazloži, da sta po strokovnem mnenju to rastlini z invazivnim potencialom, zato ju na navedenih območjih ni dovoljeno pridelovati.</w:t>
            </w:r>
          </w:p>
        </w:tc>
      </w:tr>
      <w:tr w:rsidR="0060200A" w:rsidRPr="007150C9" w:rsidTr="0060200A">
        <w:trPr>
          <w:trHeight w:val="300"/>
        </w:trPr>
        <w:tc>
          <w:tcPr>
            <w:tcW w:w="936" w:type="dxa"/>
            <w:shd w:val="clear" w:color="auto" w:fill="FFFFFF" w:themeFill="background1"/>
          </w:tcPr>
          <w:p w:rsidR="0060200A" w:rsidRDefault="0060200A" w:rsidP="0060200A">
            <w:pPr>
              <w:ind w:left="360"/>
            </w:pPr>
          </w:p>
          <w:p w:rsidR="0060200A" w:rsidRPr="007150C9"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Torej če eno kmetijsko gospodarstvo vstopi v intervencijo biotično varstvo z tremi </w:t>
            </w:r>
            <w:proofErr w:type="spellStart"/>
            <w:r w:rsidRPr="007150C9">
              <w:t>gerki</w:t>
            </w:r>
            <w:proofErr w:type="spellEnd"/>
            <w:r w:rsidRPr="007150C9">
              <w:t xml:space="preserve"> in v drugem letu te površine prenese drugemu kmetijskemu gospodarstvu prvotno KMG ne potrebuje vračati sredstev, KMG, ki pa je te tri </w:t>
            </w:r>
            <w:proofErr w:type="spellStart"/>
            <w:r w:rsidRPr="007150C9">
              <w:t>gerke</w:t>
            </w:r>
            <w:proofErr w:type="spellEnd"/>
            <w:r w:rsidRPr="007150C9">
              <w:t xml:space="preserve"> prevzelo pa intervencije ne potrebuje nadaljevati?</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Tako je.</w:t>
            </w:r>
          </w:p>
        </w:tc>
      </w:tr>
      <w:tr w:rsidR="0060200A" w:rsidRPr="007150C9" w:rsidTr="0060200A">
        <w:trPr>
          <w:trHeight w:val="306"/>
        </w:trPr>
        <w:tc>
          <w:tcPr>
            <w:tcW w:w="936" w:type="dxa"/>
            <w:shd w:val="clear" w:color="auto" w:fill="FFFFFF" w:themeFill="background1"/>
          </w:tcPr>
          <w:p w:rsidR="0060200A" w:rsidRDefault="0060200A" w:rsidP="0060200A">
            <w:pPr>
              <w:ind w:left="360"/>
            </w:pPr>
          </w:p>
          <w:p w:rsidR="0060200A" w:rsidRPr="007150C9"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Torej je potrebno vse kmetije, ki jim petletna </w:t>
            </w:r>
            <w:proofErr w:type="spellStart"/>
            <w:r w:rsidRPr="007150C9">
              <w:t>obvesnost</w:t>
            </w:r>
            <w:proofErr w:type="spellEnd"/>
            <w:r w:rsidRPr="007150C9">
              <w:t xml:space="preserve"> še ni potekla obvestiti, da podaljšajo vstop v kontrolno organizacijo (rok 28.2.23) Kdo jih bo obvestil?</w:t>
            </w:r>
          </w:p>
        </w:tc>
      </w:tr>
      <w:tr w:rsidR="007150C9" w:rsidRPr="007150C9" w:rsidTr="0060200A">
        <w:trPr>
          <w:trHeight w:val="300"/>
        </w:trPr>
        <w:tc>
          <w:tcPr>
            <w:tcW w:w="936" w:type="dxa"/>
            <w:shd w:val="clear" w:color="auto" w:fill="FFFFFF" w:themeFill="background1"/>
          </w:tcPr>
          <w:p w:rsidR="007150C9" w:rsidRPr="007150C9" w:rsidRDefault="007150C9" w:rsidP="0060200A">
            <w:pPr>
              <w:pStyle w:val="Odstavekseznama"/>
            </w:pPr>
          </w:p>
        </w:tc>
        <w:tc>
          <w:tcPr>
            <w:tcW w:w="9554" w:type="dxa"/>
          </w:tcPr>
          <w:p w:rsidR="007150C9" w:rsidRPr="007150C9" w:rsidRDefault="007150C9" w:rsidP="007150C9">
            <w:r w:rsidRPr="007150C9">
              <w:t>MKGP bo (je) izdalo obvestilo na svoji spletni strani in tudi prek drugih komunikacijskih poti.</w:t>
            </w:r>
          </w:p>
        </w:tc>
      </w:tr>
      <w:tr w:rsidR="0060200A" w:rsidRPr="007150C9" w:rsidTr="0060200A">
        <w:trPr>
          <w:trHeight w:val="300"/>
        </w:trPr>
        <w:tc>
          <w:tcPr>
            <w:tcW w:w="936" w:type="dxa"/>
            <w:shd w:val="clear" w:color="auto" w:fill="FFFFFF" w:themeFill="background1"/>
          </w:tcPr>
          <w:p w:rsidR="0060200A" w:rsidRPr="007150C9" w:rsidRDefault="0060200A" w:rsidP="0060200A">
            <w:pPr>
              <w:pStyle w:val="Odstavekseznama"/>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Torej: tudi če se kmet prostovoljno ne vključi v intervencijo- cona barjanskega </w:t>
            </w:r>
            <w:proofErr w:type="spellStart"/>
            <w:r w:rsidRPr="007150C9">
              <w:t>okarčka</w:t>
            </w:r>
            <w:proofErr w:type="spellEnd"/>
            <w:r w:rsidRPr="007150C9">
              <w:t>, če ima površine na tej coni,  bo vseeno nadzorovan s strani agencije oz. drugih organov?</w:t>
            </w:r>
          </w:p>
        </w:tc>
      </w:tr>
      <w:tr w:rsidR="007150C9" w:rsidRPr="007150C9" w:rsidTr="0060200A">
        <w:trPr>
          <w:trHeight w:val="300"/>
        </w:trPr>
        <w:tc>
          <w:tcPr>
            <w:tcW w:w="936" w:type="dxa"/>
            <w:shd w:val="clear" w:color="auto" w:fill="FFFFFF" w:themeFill="background1"/>
          </w:tcPr>
          <w:p w:rsidR="007150C9" w:rsidRPr="007150C9" w:rsidRDefault="007150C9" w:rsidP="0060200A">
            <w:pPr>
              <w:pStyle w:val="Odstavekseznama"/>
            </w:pPr>
          </w:p>
        </w:tc>
        <w:tc>
          <w:tcPr>
            <w:tcW w:w="9554" w:type="dxa"/>
          </w:tcPr>
          <w:p w:rsidR="007150C9" w:rsidRPr="007150C9" w:rsidRDefault="007150C9" w:rsidP="007150C9">
            <w:r w:rsidRPr="007150C9">
              <w:t>S strani ARSKTRP bo izvedena kontrola le v primeru, če se bo vključil v intervencijo Plačila Natura 2000.</w:t>
            </w:r>
            <w:r w:rsidRPr="007150C9">
              <w:br/>
              <w:t xml:space="preserve">Če se ne bo vključil v intervencijo Plačila Natura 2000, bo kontrolo izvajala </w:t>
            </w:r>
            <w:proofErr w:type="spellStart"/>
            <w:r w:rsidRPr="007150C9">
              <w:t>okoljska</w:t>
            </w:r>
            <w:proofErr w:type="spellEnd"/>
            <w:r w:rsidRPr="007150C9">
              <w:t xml:space="preserve"> inšpekcija.</w:t>
            </w:r>
          </w:p>
        </w:tc>
      </w:tr>
      <w:tr w:rsidR="0060200A" w:rsidRPr="007150C9" w:rsidTr="0060200A">
        <w:trPr>
          <w:trHeight w:val="300"/>
        </w:trPr>
        <w:tc>
          <w:tcPr>
            <w:tcW w:w="936" w:type="dxa"/>
            <w:shd w:val="clear" w:color="auto" w:fill="FFFFFF" w:themeFill="background1"/>
          </w:tcPr>
          <w:p w:rsidR="0060200A" w:rsidRPr="007150C9" w:rsidRDefault="0060200A" w:rsidP="0060200A">
            <w:pPr>
              <w:pStyle w:val="Odstavekseznama"/>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Vpis v HAB, še ne zagotavlja ohranjanja HAB, marsikdo se ne vključi v KOPOP zaradi evidenc, izobraževanja, ohranja pa z dobro prakso HAB.</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To sicer drži, vendar pa študije kažejo, da pri odločanju o vključitvi kmetov v t. i. naravovarstvene operacije ključno vlogo igra višina podpore, ki je glede na postavljene zahteve, npr. konkretno pri HAB, primerno visoka.</w:t>
            </w:r>
          </w:p>
        </w:tc>
      </w:tr>
      <w:tr w:rsidR="0060200A" w:rsidRPr="007150C9" w:rsidTr="0060200A">
        <w:trPr>
          <w:trHeight w:val="300"/>
        </w:trPr>
        <w:tc>
          <w:tcPr>
            <w:tcW w:w="936" w:type="dxa"/>
            <w:shd w:val="clear" w:color="auto" w:fill="FFFFFF" w:themeFill="background1"/>
          </w:tcPr>
          <w:p w:rsidR="0060200A"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Za žitnega strgača imamo izredno dovoljenje za uporabo v EK za pripravek </w:t>
            </w:r>
            <w:proofErr w:type="spellStart"/>
            <w:r w:rsidRPr="007150C9">
              <w:t>asetfive</w:t>
            </w:r>
            <w:proofErr w:type="spellEnd"/>
            <w:r w:rsidRPr="007150C9">
              <w:t xml:space="preserve"> seveda </w:t>
            </w:r>
            <w:proofErr w:type="spellStart"/>
            <w:r w:rsidRPr="007150C9">
              <w:t>ger</w:t>
            </w:r>
            <w:proofErr w:type="spellEnd"/>
            <w:r w:rsidRPr="007150C9">
              <w:t xml:space="preserve"> za klasičen FFS in ne biotično sredstvo.</w:t>
            </w:r>
          </w:p>
        </w:tc>
      </w:tr>
      <w:tr w:rsidR="007150C9" w:rsidRPr="007150C9" w:rsidTr="0060200A">
        <w:trPr>
          <w:trHeight w:val="300"/>
        </w:trPr>
        <w:tc>
          <w:tcPr>
            <w:tcW w:w="936" w:type="dxa"/>
            <w:shd w:val="clear" w:color="auto" w:fill="FFFFFF" w:themeFill="background1"/>
          </w:tcPr>
          <w:p w:rsidR="007150C9" w:rsidRPr="007150C9" w:rsidRDefault="007150C9" w:rsidP="0060200A"/>
        </w:tc>
        <w:tc>
          <w:tcPr>
            <w:tcW w:w="9554" w:type="dxa"/>
          </w:tcPr>
          <w:p w:rsidR="007150C9" w:rsidRPr="007150C9" w:rsidRDefault="007150C9" w:rsidP="007150C9">
            <w:r w:rsidRPr="007150C9">
              <w:t>/</w:t>
            </w:r>
          </w:p>
        </w:tc>
      </w:tr>
      <w:tr w:rsidR="0060200A" w:rsidRPr="007150C9" w:rsidTr="0060200A">
        <w:trPr>
          <w:trHeight w:val="300"/>
        </w:trPr>
        <w:tc>
          <w:tcPr>
            <w:tcW w:w="936" w:type="dxa"/>
            <w:shd w:val="clear" w:color="auto" w:fill="FFFFFF" w:themeFill="background1"/>
          </w:tcPr>
          <w:p w:rsidR="0060200A" w:rsidRPr="007150C9" w:rsidRDefault="0060200A" w:rsidP="0060200A"/>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Zakaj niso obremenitve med posameznimi intervencijami usklajene npr.: za </w:t>
            </w:r>
            <w:proofErr w:type="spellStart"/>
            <w:r w:rsidRPr="007150C9">
              <w:t>sopo</w:t>
            </w:r>
            <w:proofErr w:type="spellEnd"/>
            <w:r w:rsidRPr="007150C9">
              <w:t xml:space="preserve"> zanaša 0,2 GVŽ/ha, za ekološko pa je 0,3 GVŽ/ha ?</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 xml:space="preserve">Obtežba je bila določena v dogovoru s sektorji. </w:t>
            </w:r>
          </w:p>
        </w:tc>
      </w:tr>
      <w:tr w:rsidR="0060200A" w:rsidRPr="007150C9" w:rsidTr="0060200A">
        <w:trPr>
          <w:trHeight w:val="300"/>
        </w:trPr>
        <w:tc>
          <w:tcPr>
            <w:tcW w:w="936" w:type="dxa"/>
            <w:shd w:val="clear" w:color="auto" w:fill="FFFFFF" w:themeFill="background1"/>
          </w:tcPr>
          <w:p w:rsidR="0060200A"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Zakaj se v izračun obremenitve za podporo EK ne vštevajo tudi ekstenzivni sadovnjaki, pač pa le 1300 in 1320 površine? V primeru večletnih </w:t>
            </w:r>
            <w:proofErr w:type="spellStart"/>
            <w:r w:rsidRPr="007150C9">
              <w:t>obeznosti</w:t>
            </w:r>
            <w:proofErr w:type="spellEnd"/>
            <w:r w:rsidRPr="007150C9">
              <w:t xml:space="preserve"> in dvojnega sistema EK intervencij, ali bo MKGP poskrbelo za to da bo plačila na ha po obeh programih enako visoko.</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V obremenitev se štejejo tiste površine, kjer se živali pasejo pretežni del leta.</w:t>
            </w:r>
            <w:r w:rsidRPr="007150C9">
              <w:br/>
            </w:r>
            <w:r w:rsidRPr="007150C9">
              <w:br/>
              <w:t>Dvojnega sistema intervencij ne bo. Plačilo za intervencijo EK in EKČ je enako za vse upravičence: za tiste, ki bodo svoje obveznosti iz PRP 2014-2020 prilagodili pravnemu okviru SN 2023-2027, kot tudi za tiste, ki bodo v intervencijo EK oz. EKČ iz SN 2023-2027 vstopili povsem na novo.</w:t>
            </w:r>
          </w:p>
        </w:tc>
      </w:tr>
      <w:tr w:rsidR="0060200A" w:rsidRPr="007150C9" w:rsidTr="0060200A">
        <w:trPr>
          <w:trHeight w:val="300"/>
        </w:trPr>
        <w:tc>
          <w:tcPr>
            <w:tcW w:w="936" w:type="dxa"/>
            <w:shd w:val="clear" w:color="auto" w:fill="FFFFFF" w:themeFill="background1"/>
          </w:tcPr>
          <w:p w:rsidR="0060200A"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Zanima me na koliko % vprašanj z izobraževanj smo dobili odgovore ki držijo ?</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proofErr w:type="spellStart"/>
            <w:r w:rsidRPr="007150C9">
              <w:t>Opozorii</w:t>
            </w:r>
            <w:proofErr w:type="spellEnd"/>
            <w:r w:rsidRPr="007150C9">
              <w:t xml:space="preserve"> smo, da je usposabljanje preuranjeno in da lahko podamo le preliminarne odgovore, ki se do sprejema uredbe lahko še spremenijo. Usposabljanje, ki smo ga kljub temu izvedli na vašo pobudo, ni namenjeno preštevanju pravilnih odgovorov, ampak iskanju rešitev za še odprte zadeve. Poleg tega v tem času potekajo tudi usklajevanja z deležniki.</w:t>
            </w:r>
          </w:p>
        </w:tc>
      </w:tr>
      <w:tr w:rsidR="0060200A" w:rsidRPr="007150C9" w:rsidTr="0060200A">
        <w:trPr>
          <w:trHeight w:val="300"/>
        </w:trPr>
        <w:tc>
          <w:tcPr>
            <w:tcW w:w="936" w:type="dxa"/>
            <w:shd w:val="clear" w:color="auto" w:fill="FFFFFF" w:themeFill="background1"/>
          </w:tcPr>
          <w:p w:rsidR="0060200A" w:rsidRDefault="0060200A" w:rsidP="0060200A">
            <w:pPr>
              <w:ind w:left="360"/>
            </w:pPr>
          </w:p>
        </w:tc>
        <w:tc>
          <w:tcPr>
            <w:tcW w:w="9554" w:type="dxa"/>
          </w:tcPr>
          <w:p w:rsidR="0060200A" w:rsidRPr="007150C9" w:rsidRDefault="0060200A" w:rsidP="007150C9"/>
        </w:tc>
      </w:tr>
      <w:tr w:rsidR="007150C9" w:rsidRPr="007150C9" w:rsidTr="0060200A">
        <w:trPr>
          <w:trHeight w:val="300"/>
        </w:trPr>
        <w:tc>
          <w:tcPr>
            <w:tcW w:w="936" w:type="dxa"/>
            <w:shd w:val="clear" w:color="auto" w:fill="FFFFFF" w:themeFill="background1"/>
          </w:tcPr>
          <w:p w:rsidR="007150C9" w:rsidRPr="007150C9" w:rsidRDefault="007150C9" w:rsidP="007150C9">
            <w:pPr>
              <w:pStyle w:val="Odstavekseznama"/>
              <w:numPr>
                <w:ilvl w:val="0"/>
                <w:numId w:val="2"/>
              </w:numPr>
            </w:pPr>
          </w:p>
        </w:tc>
        <w:tc>
          <w:tcPr>
            <w:tcW w:w="9554" w:type="dxa"/>
            <w:shd w:val="clear" w:color="auto" w:fill="DEEAF6" w:themeFill="accent1" w:themeFillTint="33"/>
          </w:tcPr>
          <w:p w:rsidR="007150C9" w:rsidRPr="007150C9" w:rsidRDefault="007150C9" w:rsidP="007150C9">
            <w:r w:rsidRPr="007150C9">
              <w:t xml:space="preserve">Znano je, da je večina biotičnih pripravkov lahko neuporabna v primeru slabih </w:t>
            </w:r>
            <w:proofErr w:type="spellStart"/>
            <w:r w:rsidRPr="007150C9">
              <w:t>okoljskih</w:t>
            </w:r>
            <w:proofErr w:type="spellEnd"/>
            <w:r w:rsidRPr="007150C9">
              <w:t xml:space="preserve"> razmer (visoke temperature, nizka relativna zračna vlaga, vetrovno vreme - </w:t>
            </w:r>
            <w:proofErr w:type="spellStart"/>
            <w:r w:rsidRPr="007150C9">
              <w:t>drift</w:t>
            </w:r>
            <w:proofErr w:type="spellEnd"/>
            <w:r w:rsidRPr="007150C9">
              <w:t xml:space="preserve">). Ali se v primeru </w:t>
            </w:r>
            <w:proofErr w:type="spellStart"/>
            <w:r w:rsidRPr="007150C9">
              <w:t>neučinokvitosti</w:t>
            </w:r>
            <w:proofErr w:type="spellEnd"/>
            <w:r w:rsidRPr="007150C9">
              <w:t xml:space="preserve"> pripravkov lahko uporabi FFS, ki so registrirana za ekološko kmetijstvo.</w:t>
            </w:r>
          </w:p>
        </w:tc>
      </w:tr>
      <w:tr w:rsidR="007150C9" w:rsidRPr="007150C9" w:rsidTr="0060200A">
        <w:trPr>
          <w:trHeight w:val="300"/>
        </w:trPr>
        <w:tc>
          <w:tcPr>
            <w:tcW w:w="936" w:type="dxa"/>
            <w:shd w:val="clear" w:color="auto" w:fill="FFFFFF" w:themeFill="background1"/>
          </w:tcPr>
          <w:p w:rsidR="007150C9" w:rsidRDefault="007150C9" w:rsidP="0060200A">
            <w:pPr>
              <w:ind w:left="360"/>
            </w:pPr>
          </w:p>
          <w:p w:rsidR="0060200A" w:rsidRPr="007150C9" w:rsidRDefault="0060200A" w:rsidP="0060200A">
            <w:pPr>
              <w:ind w:left="360"/>
            </w:pPr>
          </w:p>
        </w:tc>
        <w:tc>
          <w:tcPr>
            <w:tcW w:w="9554" w:type="dxa"/>
          </w:tcPr>
          <w:p w:rsidR="007150C9" w:rsidRPr="007150C9" w:rsidRDefault="007150C9" w:rsidP="007150C9">
            <w:r w:rsidRPr="007150C9">
              <w:t>Intervencija BVR ne izključuje uporabe FFS. Program varstva rastlin naj bo sestavljen strokovno in smiselno - da bo lahko učinkovit in izvedljiv.</w:t>
            </w:r>
          </w:p>
        </w:tc>
      </w:tr>
    </w:tbl>
    <w:p w:rsidR="008A021E" w:rsidRDefault="008A021E"/>
    <w:sectPr w:rsidR="008A0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321"/>
    <w:multiLevelType w:val="hybridMultilevel"/>
    <w:tmpl w:val="7584D5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8175CA"/>
    <w:multiLevelType w:val="hybridMultilevel"/>
    <w:tmpl w:val="375C10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C9"/>
    <w:rsid w:val="004721BB"/>
    <w:rsid w:val="004B0017"/>
    <w:rsid w:val="0060200A"/>
    <w:rsid w:val="007150C9"/>
    <w:rsid w:val="008A021E"/>
    <w:rsid w:val="00CA10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3115"/>
  <w15:chartTrackingRefBased/>
  <w15:docId w15:val="{04E50AFF-5533-495E-BAAD-2DF8E54A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15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15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3262</Words>
  <Characters>18596</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Bozovičar</dc:creator>
  <cp:keywords/>
  <dc:description/>
  <cp:lastModifiedBy>Mojca Bozovičar</cp:lastModifiedBy>
  <cp:revision>3</cp:revision>
  <dcterms:created xsi:type="dcterms:W3CDTF">2023-05-08T12:59:00Z</dcterms:created>
  <dcterms:modified xsi:type="dcterms:W3CDTF">2023-05-09T06:58:00Z</dcterms:modified>
</cp:coreProperties>
</file>